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CB" w:rsidRDefault="00EC13CB" w:rsidP="00EC13CB">
      <w:pPr>
        <w:pStyle w:val="Title"/>
      </w:pPr>
      <w:r>
        <w:t>Postmodernity and the Double Wall</w:t>
      </w:r>
    </w:p>
    <w:p w:rsidR="00EC13CB" w:rsidRDefault="00EC13CB" w:rsidP="00EC13CB">
      <w:pPr>
        <w:pStyle w:val="BodyText"/>
      </w:pPr>
      <w:r>
        <w:t>In this chapter, I describe postmodernity—the current interconnected, global, neoliberal system of political and economic instruments, institutions and alliances—as the logical outcome of a chain of events in western civilization: (a) the western imperial drive from 1492 on to exploit foreign territories resulting in the dispossession of native populations; (b) the rise of capitalism, and especially its insistence on the commodification of public goods, which started, arguably, with the acquisition of land belonging to native peoples by Anglo-American settlers in the early eighteenth century; (c) and much more recently, the post-Fordist, postindustrial, and consumerist era arose out of the ashes of the post-World War II Bretton Woods arrangements that collapsed around 1970.</w:t>
      </w:r>
    </w:p>
    <w:p w:rsidR="00EC13CB" w:rsidRDefault="00EC13CB" w:rsidP="00EC13CB">
      <w:pPr>
        <w:pStyle w:val="BodyText"/>
      </w:pPr>
      <w:r>
        <w:t>The “double war” idea is from Arthur Mitzman, who argues that the current model of global relations is headed for a crisis on two fronts, the imminent security risk caused by accelerating disparities between rich and poor all over the globe—especially between the most wealthy and the most impoverished nations—and the risk of impending ecological disaster.  The crisis is in fact so imminent, that it is rather like a car careening toward two walls, one immediately behind the other.  These alarming conditions call for an urgent rethinking of the world order.  In light of this, “the enormous risks we face at the beginning of the twenty-first century have more to do with the ideological fundamentalism of neoliberal capitalism than with that of Islamic terror networks.”</w:t>
      </w:r>
      <w:r>
        <w:rPr>
          <w:rStyle w:val="FootnoteReference"/>
        </w:rPr>
        <w:footnoteReference w:id="1"/>
      </w:r>
      <w:r>
        <w:t xml:space="preserve">  What is needed is a holistic vision that jettisons the fetishism of growth inherited from modernity and encompasses the aspirations of Third World peasants, native peoples and the urban poor, as well as the majority of working and middle class people in other countries.  This vision will have to focus on a sustainable modus vivendi for all people in harmony with the earth for which they share a common responsibility.</w:t>
      </w:r>
    </w:p>
    <w:p w:rsidR="00EC13CB" w:rsidRDefault="00EC13CB" w:rsidP="00EC13CB">
      <w:pPr>
        <w:pStyle w:val="Heading1"/>
      </w:pPr>
      <w:r>
        <w:lastRenderedPageBreak/>
        <w:t>Postmodernity and the Wall of Social Injustice</w:t>
      </w:r>
    </w:p>
    <w:p w:rsidR="00EC13CB" w:rsidRDefault="00EC13CB" w:rsidP="00EC13CB">
      <w:pPr>
        <w:pStyle w:val="BodyText"/>
      </w:pPr>
      <w:r>
        <w:t>By way of clarification, I am using “postmodernity” more as a heuristic device than as a hard and fast historical category.  The respected British sociologist Anthony Giddens, for example, notes the radical discontinuity between the project of modernity since the Enlightenment and “high-modernity” of the last quarter of the twentieth century.  Yet he refuses to use the word “postmodernity.”  Modernity for him is inherently globalizing, prone to creating discontinuity in social configurations and doubt in people’s minds (think of Descartes’ starting point),</w:t>
      </w:r>
      <w:r>
        <w:rPr>
          <w:rStyle w:val="FootnoteReference"/>
        </w:rPr>
        <w:footnoteReference w:id="2"/>
      </w:r>
      <w:r>
        <w:t xml:space="preserve"> but not until recently has its dizzying rate of change engulfed the whole planet.  The best metaphor, contends Giddens is that of the juggernaut, “a runaway engine of enormous power which, collectively as human beings, we can drive to some extent but which also threatens to rush out of our control and which could rend itself asunder.”</w:t>
      </w:r>
      <w:r>
        <w:rPr>
          <w:rStyle w:val="FootnoteReference"/>
        </w:rPr>
        <w:footnoteReference w:id="3"/>
      </w:r>
      <w:r>
        <w:t xml:space="preserve">  To resist it is to risk being crushed, and to follow it is always disconcerting, because however steady its path may usually seem, it can so easily bolt off in unexpected directions.  It can be an exhilarating ride at times and instill great hope.  Yet security will always remain elusive, if only because for the first time ecological collapse and nuclear war now stand at our doorstep.</w:t>
      </w:r>
    </w:p>
    <w:p w:rsidR="00EC13CB" w:rsidRDefault="00EC13CB" w:rsidP="00EC13CB">
      <w:pPr>
        <w:pStyle w:val="BodyText"/>
      </w:pPr>
      <w:r>
        <w:t>Giddens’ picture of the juggernaut of modernity certainly has descriptive power for the middle classes (whether of the “blue” or “white collar variety) struggling to keep up across the globe.  For the majority of humanity, however, the “wild ride” has long left them in the dust, in the gutter of no return, with no hope of betterment for their children, if indeed they survive into adulthood.  No hope of cultural production here, and little chance of creating art for the sake of art while life is squeezed out of people in the midst of the ubiquitous symbols of mass-produced and mass-marketed artifacts exported by the west—only a tattered Nike T-shirt here, and a Coke bottle on the ground over there.  It is difficult to escape the pervasive impact of economic systems and their political or geopolitical supports.</w:t>
      </w:r>
    </w:p>
    <w:p w:rsidR="00EC13CB" w:rsidRDefault="00EC13CB" w:rsidP="00EC13CB">
      <w:pPr>
        <w:pStyle w:val="BodyText"/>
      </w:pPr>
      <w:r>
        <w:t>In fact, few would deny today the connection between the economic power of multinational corporations and the nefarious effect of this monocultural steamroller of consumerism on local cultures and traditions.  Behind all of this, argues Moroccan academic Anouar Majid, is the “free-market fundamentalist ideology.”</w:t>
      </w:r>
      <w:r>
        <w:rPr>
          <w:rStyle w:val="FootnoteReference"/>
        </w:rPr>
        <w:footnoteReference w:id="4"/>
      </w:r>
      <w:r>
        <w:t xml:space="preserve">  This is precisely the negative side of globalization, driven by the neoliberal ideology of free markets and leading the world community into a dead-end—the wall of social injustice, as Mitzman has it, or the growing disparity between the few rich and the multiplying poor.</w:t>
      </w:r>
      <w:r>
        <w:rPr>
          <w:rStyle w:val="FootnoteReference"/>
        </w:rPr>
        <w:footnoteReference w:id="5"/>
      </w:r>
      <w:r>
        <w:t xml:space="preserve">  An influential member of Uganda’s parliament, Norbert Mao, recently wrote, “</w:t>
      </w:r>
      <w:r>
        <w:rPr>
          <w:color w:val="000000"/>
          <w:sz w:val="26"/>
        </w:rPr>
        <w:t>Globalization could benefit Africa, but in its current raw form, it will only paralyze the poverty-struck continent by turning it into a cluster of wagon economies whose engines are in the Western world.”</w:t>
      </w:r>
      <w:r>
        <w:rPr>
          <w:rStyle w:val="FootnoteReference"/>
          <w:color w:val="000000"/>
          <w:sz w:val="26"/>
        </w:rPr>
        <w:footnoteReference w:id="6"/>
      </w:r>
    </w:p>
    <w:p w:rsidR="00EC13CB" w:rsidRDefault="00EC13CB" w:rsidP="00EC13CB">
      <w:pPr>
        <w:pStyle w:val="Heading2"/>
      </w:pPr>
      <w:r>
        <w:t>Postmodernity as Post-Ford</w:t>
      </w:r>
      <w:bookmarkStart w:id="0" w:name="_GoBack"/>
      <w:bookmarkEnd w:id="0"/>
      <w:r>
        <w:t>ist Flexible Accumulation</w:t>
      </w:r>
    </w:p>
    <w:p w:rsidR="00EC13CB" w:rsidRDefault="00EC13CB" w:rsidP="00EC13CB">
      <w:pPr>
        <w:pStyle w:val="BodyText"/>
      </w:pPr>
      <w:r>
        <w:t xml:space="preserve">Postmodernity is driven by economic forces in the hands of a handful of powerful countries.  For this reason I have identified David Harvey’s landmark book, </w:t>
      </w:r>
      <w:r>
        <w:rPr>
          <w:i/>
        </w:rPr>
        <w:t>The Condition of Postmodernity</w:t>
      </w:r>
      <w:r>
        <w:t>, as a first guide for explaining how postmodernity came to be and how it should be defined.</w:t>
      </w:r>
      <w:r>
        <w:rPr>
          <w:rStyle w:val="FootnoteReference"/>
        </w:rPr>
        <w:footnoteReference w:id="7"/>
      </w:r>
      <w:r>
        <w:t xml:space="preserve">  A British geographer who came to the United States in 1969,</w:t>
      </w:r>
      <w:r>
        <w:rPr>
          <w:rStyle w:val="FootnoteReference"/>
        </w:rPr>
        <w:footnoteReference w:id="8"/>
      </w:r>
      <w:r>
        <w:t xml:space="preserve"> Harvey concluded early in his career in Baltimore that Marxian historical materialism (history explained primarily by material conditions) provided the best theoretical framework to account for the graphic social disparities in US cities.  He progressively developed an analysis that identified the cultural, intellectual and aesthetic practices of postmodernism in terms of capitalist cycles of accumulation and overaccumulation.  In the third part of </w:t>
      </w:r>
      <w:r>
        <w:rPr>
          <w:i/>
        </w:rPr>
        <w:t>The Condition of Postmodernity</w:t>
      </w:r>
      <w:r>
        <w:t>, “The Experience of Space and Time,” Harvey links the growing “compression” of time and space to three successive crises of capitalist overaccumulation, starting with the European depression of 1846-47 that sent shockwaves worldwide.</w:t>
      </w:r>
      <w:r>
        <w:rPr>
          <w:rStyle w:val="FootnoteReference"/>
        </w:rPr>
        <w:footnoteReference w:id="9"/>
      </w:r>
    </w:p>
    <w:p w:rsidR="00EC13CB" w:rsidRDefault="00EC13CB" w:rsidP="00EC13CB">
      <w:pPr>
        <w:pStyle w:val="BodyText"/>
      </w:pPr>
      <w:r>
        <w:t>This first crisis not only sparked political upheavals in Europe, he explains, but it created “a radical readjustment in the sense of time and space in economic, political and cultural life.  Before 1848, progressive elements within the bourgeoisie could reasonably hold to the Enlightenment sense of time . . . . But after 1848, that progressive sense of time was called into question in many important respects.”</w:t>
      </w:r>
      <w:r>
        <w:rPr>
          <w:rStyle w:val="FootnoteReference"/>
        </w:rPr>
        <w:footnoteReference w:id="10"/>
      </w:r>
      <w:r>
        <w:t xml:space="preserve">  Harvey argues that part of this legacy was to be seen in the literature of James Joyce who “began his quest to capture the sense of the simultaneity in space and time,” and of Césanne who initiated experimentation in the arts that “tried to represent time through a fragmentation of space.”</w:t>
      </w:r>
      <w:r>
        <w:rPr>
          <w:rStyle w:val="FootnoteReference"/>
        </w:rPr>
        <w:footnoteReference w:id="11"/>
      </w:r>
    </w:p>
    <w:p w:rsidR="00EC13CB" w:rsidRDefault="00EC13CB" w:rsidP="00EC13CB">
      <w:pPr>
        <w:pStyle w:val="BodyText"/>
      </w:pPr>
      <w:r>
        <w:t>Ironically, the second crisis, the 1929 “great depression,” is only incidental in the fine-tuning of the archetypal modern economic innovation: Fordism.  Harvey sees 1914 as the symbolic launching of Fordism, “when Henry Ford introduced his five-dollar, eight hour day as recompense for workers manning the automated car-assembly line he had established the year before at Dearborn, Michigan.”</w:t>
      </w:r>
      <w:r>
        <w:rPr>
          <w:rStyle w:val="FootnoteReference"/>
        </w:rPr>
        <w:footnoteReference w:id="12"/>
      </w:r>
      <w:r>
        <w:t xml:space="preserve">  Yet Fordism was more than just a jump ahead in efficiency.  Ford had a vision which he was able to pass on to his generation: “his explicit recognition that mass production meant mass consumption, a new system of the reproduction of labour power, a new politics of labour control and management, a new aesthetics and psychology, in short, a new kind of rationalized, modernist, and populist democratic society.”</w:t>
      </w:r>
      <w:r>
        <w:rPr>
          <w:rStyle w:val="FootnoteReference"/>
        </w:rPr>
        <w:footnoteReference w:id="13"/>
      </w:r>
    </w:p>
    <w:p w:rsidR="00EC13CB" w:rsidRDefault="00EC13CB" w:rsidP="00EC13CB">
      <w:pPr>
        <w:pStyle w:val="BodyText"/>
      </w:pPr>
      <w:r>
        <w:t>Two major obstacles stood in the way of those who attempted to apply Fordism and Taylorism on a national scale in the US and in Europe before WWII.  The first was a class issue: most of Ford’s labor force were recent immigrants, but in general American workers remained hostile to this standardization of production.  The modern state represented the second obstacle.  With an overaccumulation of products that could not be absorbed and a frenzied, overheated speculatory stock market, the entire economy collapsed overnight in 1929.  This is when state-sponsored solutions came to the fore: Roosevelt’s New Deal in America and national socialist programs initiated in Germany, Italy and Japan, with their strong militaristic impulses.</w:t>
      </w:r>
    </w:p>
    <w:p w:rsidR="00EC13CB" w:rsidRDefault="00EC13CB" w:rsidP="00EC13CB">
      <w:pPr>
        <w:pStyle w:val="BodyText"/>
      </w:pPr>
      <w:r>
        <w:t>Thus it was only after the war that Fordism entered its own, as “a fully-fledged and distinctive regime of accumulation,” which survived unchanged until 1973.  Capitalist countries expanded their economies and began to draw in their wake a number of recently independent countries.  For one thing, the industries related to the war effort had “been pushed to new extremes of rationalization.”  For another, the reconstruction effort initiated by the allies in Europe helped to spark an unprecedented investment in transport, urban, and communication infrastructure everywhere.  This was made possible by establishing the financial nerve center of the global economy in the west, attracting “massive supplies of raw materials from the rest of the non-communist world,” and intentionally aiming “to dominate an increasingly homogenous mass world market with their products.”</w:t>
      </w:r>
      <w:r>
        <w:rPr>
          <w:rStyle w:val="FootnoteReference"/>
        </w:rPr>
        <w:footnoteReference w:id="14"/>
      </w:r>
    </w:p>
    <w:p w:rsidR="00EC13CB" w:rsidRDefault="00EC13CB" w:rsidP="00EC13CB">
      <w:pPr>
        <w:pStyle w:val="BodyText"/>
      </w:pPr>
      <w:r>
        <w:t>It is this international dimension of postwar Fordist capitalism and its distinctive configuration of capital that most impacts the present situation.  For Harvey the 1944 war agreement of Bretton Woods adopted the dollar as the international exchange and reserve currency and “tied the world’s economic development firmly into US fiscal and monetary policy.”  By then US economic hegemony is sealed:</w:t>
      </w:r>
    </w:p>
    <w:p w:rsidR="00EC13CB" w:rsidRDefault="00EC13CB" w:rsidP="00EC13CB">
      <w:pPr>
        <w:pStyle w:val="BlockText"/>
      </w:pPr>
      <w:r>
        <w:t>The United States acted as the world’s banker in return for an opening up of the world’s commodity and capital markets to the power of the large corporations.  Under this umbrella, Fordism spread unevenly as each state sought its own mode of management of labour relations, monetary and fiscal policy, welfare and public investment strategies, limited internally only by the state of class relations and externally by its hierarchical position in the world economy and by the fixed exchange rate against the dollar.</w:t>
      </w:r>
      <w:r>
        <w:rPr>
          <w:rStyle w:val="FootnoteReference"/>
        </w:rPr>
        <w:footnoteReference w:id="15"/>
      </w:r>
    </w:p>
    <w:p w:rsidR="00EC13CB" w:rsidRDefault="00EC13CB" w:rsidP="00EC13CB">
      <w:pPr>
        <w:pStyle w:val="BodyText"/>
      </w:pPr>
      <w:r>
        <w:t>Moreover, on the American stage, the postwar economic bonanza was made possible in part by a muzzling of the labor unions through the Taft-Hartley Act of 1952 at the height of the anti-communist McCarthyite period.  Nevertheless a compromise was progressively hammered out to different degrees in different places during this period.  As Mitzman avers, “War economies under advanced capitalism amount to a kind of socialism for the rich, with a significant trickle-down effect for the rest of the population.”</w:t>
      </w:r>
      <w:r>
        <w:rPr>
          <w:rStyle w:val="FootnoteReference"/>
        </w:rPr>
        <w:footnoteReference w:id="16"/>
      </w:r>
      <w:r>
        <w:t xml:space="preserve">  This indeed was the period of the welfare state, in which governments dramatically widened benefit packages for all citizens and intervened directly to regulate the cycles of recession and inflation.  In other words, a truce had been worked out with the working classes and the economy remained on a fairly stable course.</w:t>
      </w:r>
    </w:p>
    <w:p w:rsidR="00EC13CB" w:rsidRDefault="00EC13CB" w:rsidP="00EC13CB">
      <w:pPr>
        <w:pStyle w:val="BodyText"/>
      </w:pPr>
      <w:r>
        <w:t>These social-democratic ideals and practices, however, were not destined to endure and the third crisis was not far behind.  Already in the sixties, the Japanese and West-European economies had completely recovered and, with their internal markets saturated, were seeking other markets to absorb their surplus output.  Further, the International Monetary Fund (IMF) and World Bank (WB) were just beginning to impose import-substitution in many “developing” countries, particularly in Latin America.  This, at least initially, resulted in a number of industrial plants opening up and competing with American products.  What is more, US industries were beginning their first off-shore experiments and south-east Asia in particular posted spectacular growth in industrialization.  These factors combined put a great deal of strain on the production capacity of the American economy, and the credit crunch of 1966-67 revealed its growing inability to control inflation.  The rigidity of the whole Bretton Woods system was severely taxed and finally, in 1973, ended up in a crisis caused by a crash of property markets, OPEC’s decision to raise the price of crude oil, and the Arab embargo as a result of the 1973 Israeli-Arab War.  This combination of acute inflation and sudden rise in energy costs forced western industries to dramatically reduce expenditures and find new ways to recycle surplus petro-dollars.</w:t>
      </w:r>
    </w:p>
    <w:p w:rsidR="00EC13CB" w:rsidRDefault="00EC13CB" w:rsidP="00EC13CB">
      <w:pPr>
        <w:pStyle w:val="BodyText"/>
      </w:pPr>
      <w:r>
        <w:t>These momentous pressures that mounted against the Fordist superstructure forced a difficult two decades of “economic restructuring and social and political readjustment.”  Harvey, along with many others therefore, sees 1973 as the transition to “an entirely new regime of accumulation.”</w:t>
      </w:r>
      <w:r>
        <w:rPr>
          <w:rStyle w:val="FootnoteReference"/>
        </w:rPr>
        <w:footnoteReference w:id="17"/>
      </w:r>
      <w:r>
        <w:t xml:space="preserve">  This third crisis produce what he calls “flexible accumulation,” that post-Fordist arrangement which is largely responsible for the growing economic disparities, both locally and globally:</w:t>
      </w:r>
    </w:p>
    <w:p w:rsidR="00EC13CB" w:rsidRDefault="00EC13CB" w:rsidP="00EC13CB">
      <w:pPr>
        <w:pStyle w:val="BlockText"/>
      </w:pPr>
      <w:r>
        <w:t>It rests on flexibility with respect to labour processes, labour markets, products, and patterns of consumption.  It is characterized by the emergence of entirely news sectors of production, new ways of providing financial services, new markets, and, above all, greatly intensified rates of commercial, technological, and organizational innovation.  It has entrained rapid shifts in the patterning of uneven development, both between sectors and between geographical regions, giving rise, for example, to a vast surge in so-called ‘service sector’ employment as well as to entirely new industrial ensembles in hitherto underdeveloped regions.</w:t>
      </w:r>
      <w:r>
        <w:rPr>
          <w:rStyle w:val="FootnoteReference"/>
        </w:rPr>
        <w:footnoteReference w:id="18"/>
      </w:r>
    </w:p>
    <w:p w:rsidR="00EC13CB" w:rsidRDefault="00EC13CB" w:rsidP="00EC13CB">
      <w:pPr>
        <w:pStyle w:val="BodyText"/>
      </w:pPr>
      <w:r>
        <w:t>The year 1973 is also crucial because this is when “the whole financial architecture of the Bretton Woods system collapsed,” notes Harvey in a more recent work.</w:t>
      </w:r>
      <w:r>
        <w:rPr>
          <w:rStyle w:val="FootnoteReference"/>
        </w:rPr>
        <w:footnoteReference w:id="19"/>
      </w:r>
      <w:r>
        <w:t xml:space="preserve">  “The collusion (now documented between the Nixon Administration and the Saudis and Iranians to push oil prices sky-high in 1973” created a surplus of dollars that flooded the world financial institutions.  The United States, now losing its former leadership in the area of production (the South Asian countries have matched Europe’s industrial production capabilities), was eager to monopolize the recycling of excess petrodollars and assert its hegemony through finance.</w:t>
      </w:r>
      <w:r>
        <w:rPr>
          <w:rStyle w:val="FootnoteReference"/>
        </w:rPr>
        <w:footnoteReference w:id="20"/>
      </w:r>
      <w:r>
        <w:t xml:space="preserve">  Gold, therefore, was now abandoned as the standard against which economies measured their value, and as Greider put it, capital itself became “abstracted and etherealized, mystified by dense mathematical calculation and accounting definitions, invested with unknowable intangible qualities like corporate ‘goodwill’.”</w:t>
      </w:r>
      <w:r>
        <w:rPr>
          <w:rStyle w:val="FootnoteReference"/>
        </w:rPr>
        <w:footnoteReference w:id="21"/>
      </w:r>
      <w:r>
        <w:t xml:space="preserve">  So from then on, the dollar becomes the international currency of choice, and particularly in the buying and selling of oil.</w:t>
      </w:r>
    </w:p>
    <w:p w:rsidR="00EC13CB" w:rsidRDefault="00EC13CB" w:rsidP="00EC13CB">
      <w:pPr>
        <w:pStyle w:val="BodyText"/>
      </w:pPr>
      <w:r>
        <w:t>These combination of factors led to the present state of capitalism described in the last chapter by Greider, in which even in the First World the middle classes desperately struggle to stay on top of the consumerist treadmill, while the swelling ranks of the poor, marginalized and homeless no longer have the protection of the pre-1980 welfare provisions.  Harvey, for his part, documents the close connection between national and international arrangements of capital, the resulting space-time compression, and the cultural production of postmodernism in architecture, the humanities and the arts.  In the next section I emphasize a point made by many (including Harvey) that postmodernity is also the logical outworking of modernity’s urge to privatize everything, from the land seized from native populations beginning in 1492, to the selling of industrial patents based on biological life forms today.  Postmodernity, then, like modernity, has a cultural identity—a point often made by Muslim critics: the European (formerly) Christian nations, and today supremely, the United States of America.</w:t>
      </w:r>
    </w:p>
    <w:p w:rsidR="00EC13CB" w:rsidRDefault="00EC13CB" w:rsidP="00EC13CB">
      <w:pPr>
        <w:pStyle w:val="Heading2"/>
      </w:pPr>
      <w:r>
        <w:t>Postmodernity: Commodification of the Commons</w:t>
      </w:r>
    </w:p>
    <w:p w:rsidR="00EC13CB" w:rsidRDefault="00EC13CB" w:rsidP="00EC13CB">
      <w:pPr>
        <w:pStyle w:val="BodyText"/>
      </w:pPr>
      <w:r>
        <w:t>Though he does not call it postmodernity, Benjamin Barber’s analysis of the current tension between McWorld and “Jihad” (the reaffirmation of identity politics, ethnically and religiously) is useful here.  For Barber, McWorld is about a culture of consumption that is being forced onto poorer countries through the relentless advertising campaigns of multinational corporations, the “soft imperialism” of the American “infotainment industry” (Hollywood, MTV, CNN and the like), and, more deviously, the conditions of IMF and WB debt servicing tied to recipients opening their territory to “free trade”—meaning, allowing free reign to multinationals.</w:t>
      </w:r>
      <w:r>
        <w:rPr>
          <w:rStyle w:val="FootnoteReference"/>
        </w:rPr>
        <w:footnoteReference w:id="22"/>
      </w:r>
    </w:p>
    <w:p w:rsidR="00EC13CB" w:rsidRDefault="00EC13CB" w:rsidP="00EC13CB">
      <w:pPr>
        <w:pStyle w:val="BodyText"/>
      </w:pPr>
      <w:r>
        <w:t>On one level, McWorld seems rather innocuous.  It is a theme park culture, notes Barber.  Yet beyond Disneyland, Six Flags and Universal Studios, this culture is displayed in the ubiquitous commercial strips, malls and fast food chains.  McDonald’s is undoubtedly the most recognized brand worldwide opening about one thousand new franchises a year and spawning entertainment and charity ventures.  Like other brand names, it sells an experience, “and the experience becomes the defining attribute of a food marketplace that is also a theater of consumption and a theme park of lifestyles . . . .  The McDonald’s way of eating is a way of life: an ideology as theme park more intrusive (if more subtle) than any Marx or Mao ever contrived.”</w:t>
      </w:r>
      <w:r>
        <w:rPr>
          <w:rStyle w:val="FootnoteReference"/>
        </w:rPr>
        <w:footnoteReference w:id="23"/>
      </w:r>
    </w:p>
    <w:p w:rsidR="00EC13CB" w:rsidRDefault="00EC13CB" w:rsidP="00EC13CB">
      <w:pPr>
        <w:pStyle w:val="BodyText"/>
      </w:pPr>
      <w:r>
        <w:t>The US phenomenon of suburban sprawl since the 1960s also coincided with a philosophy of development that aimed to “contain the entire world within the shopping plaza,” and to configure the internal architecture of the mall so that consuming will become addictive.  This has far-reaching implication urban or suburban communities and in effect reduces “every other human activity into a variation of on buying and selling.”</w:t>
      </w:r>
      <w:r>
        <w:rPr>
          <w:rStyle w:val="FootnoteReference"/>
        </w:rPr>
        <w:footnoteReference w:id="24"/>
      </w:r>
    </w:p>
    <w:p w:rsidR="00EC13CB" w:rsidRDefault="00EC13CB" w:rsidP="00EC13CB">
      <w:pPr>
        <w:pStyle w:val="BodyText"/>
      </w:pPr>
      <w:r>
        <w:t>This privatization of public space and its dedication by the powers-that-be to the cult of consumption is but one manifestation of what Barber calls the “market ideology,” which manifests itself as a “commitment to the privatization of all things public and the commercialization of all things private.”</w:t>
      </w:r>
      <w:r>
        <w:rPr>
          <w:rStyle w:val="FootnoteReference"/>
        </w:rPr>
        <w:footnoteReference w:id="25"/>
      </w:r>
      <w:r>
        <w:t xml:space="preserve">  One extreme—which so far has not been adequately discussed from an ethical viewpoint, let alone regulated—is the way in which the mapping of the human genome has been patented off to individuals and corporations for billions of dollars.  This is a deplorable development, because the commercialization of scientific research is not only a hindrance for the necessary flow of information among scientists globally,</w:t>
      </w:r>
      <w:r>
        <w:rPr>
          <w:rStyle w:val="FootnoteReference"/>
        </w:rPr>
        <w:footnoteReference w:id="26"/>
      </w:r>
      <w:r>
        <w:t xml:space="preserve"> but thanks to the emphasis in the 1990s on Intellectual Property Rights (IRPs), the World Trade Organization has sought to enforce the dominion of transnational corporations over local indigenous knowledge systems and the rule of monocultures over traditional “economies based on diversity and decentralization.”</w:t>
      </w:r>
      <w:r>
        <w:rPr>
          <w:rStyle w:val="FootnoteReference"/>
        </w:rPr>
        <w:footnoteReference w:id="27"/>
      </w:r>
      <w:r>
        <w:t xml:space="preserve">  The rich knowledge pool of indigenous plant and animal life and how to best interact with it from a human standpoint is in danger of being lost through the arrogant intervention of western (monocultural) corporations.</w:t>
      </w:r>
    </w:p>
    <w:p w:rsidR="00EC13CB" w:rsidRDefault="00EC13CB" w:rsidP="00EC13CB">
      <w:pPr>
        <w:pStyle w:val="BodyText"/>
      </w:pPr>
      <w:r>
        <w:t>Vandana Shiva, the prolific Indian author, physicist and ecologist, explains what this policy of IPRs entails: “While both kinds of economies use biodiversity as an input, only economies based on diversity produce diversity.  Monoculture economies produce monocultures.”</w:t>
      </w:r>
      <w:r>
        <w:rPr>
          <w:rStyle w:val="FootnoteReference"/>
        </w:rPr>
        <w:footnoteReference w:id="28"/>
      </w:r>
      <w:r>
        <w:t xml:space="preserve">  The highly industrialized nations are situated in zones that are poor in biodiversity while most Third World countries find themselves in the richest zones of biodiversity, the tropics.  Beyond the obvious ecological dimension relative to the dramatic loss of this biodiversity due to various forms of pollution (discussed in the next section), this unbalance has of late translated into what Shiva and others have called “biopiracy.”  A delegate from Malaysia to the UN General Assembly in November 1990 put it this way:</w:t>
      </w:r>
    </w:p>
    <w:p w:rsidR="00EC13CB" w:rsidRDefault="00EC13CB" w:rsidP="00EC13CB">
      <w:pPr>
        <w:pStyle w:val="BlockText"/>
      </w:pPr>
      <w:r>
        <w:t>There are various instances where transnational corporations have exploited the rich genetic diversity of developing countries as a free resource for research and development.  The products of such research are then patented and sold back to the developing countries at excessively high prices.  This must cease.  We must formulate mechanisms for effective cooperation with reciprocal benefits between biotechnologically-rich developed countries and gene-rich developing countries.</w:t>
      </w:r>
      <w:r>
        <w:rPr>
          <w:rStyle w:val="FootnoteReference"/>
        </w:rPr>
        <w:footnoteReference w:id="29"/>
      </w:r>
    </w:p>
    <w:p w:rsidR="00EC13CB" w:rsidRDefault="00EC13CB" w:rsidP="00EC13CB">
      <w:pPr>
        <w:pStyle w:val="BodyText"/>
      </w:pPr>
      <w:r>
        <w:t>The result is increased tensions between the IPR regime and local populations.  In India, for instance, the native Neem tree “has been used for centuries as a biopesticide and a medicine. . . .  Communities have invested centuries of care, respect, and knowledge in propagating, protecting, and using neem in fields, field bunds, homesteads, and common lands.”</w:t>
      </w:r>
      <w:r>
        <w:rPr>
          <w:rStyle w:val="FootnoteReference"/>
        </w:rPr>
        <w:footnoteReference w:id="30"/>
      </w:r>
      <w:r>
        <w:t xml:space="preserve">  Western ignorance of these natural properties has suddenly given way, however, to a “new discovery” and a rush to patent new products based on the neem tree—and this in spite of neem toothpaste produced by Calcutta Chemicals for over 30 years.  Because it was considered common knowledge, the Indian Central Insecticides Act of 1968 did not even list the neem tree.</w:t>
      </w:r>
    </w:p>
    <w:p w:rsidR="00EC13CB" w:rsidRDefault="00EC13CB" w:rsidP="00EC13CB">
      <w:pPr>
        <w:pStyle w:val="BodyText"/>
        <w:pBdr>
          <w:bottom w:val="single" w:sz="12" w:space="1" w:color="auto"/>
        </w:pBdr>
      </w:pPr>
      <w:r>
        <w:t>I agree with Shiva that this is a case of two opposing conceptions of value.  The indigenous perception of biodiversity is that it is valuable because it contributes to meeting human needs.  In the IPR conception of biodiversity, biodiversity is valuable because it can turn a profit.  Thus “tinkering becomes necessary to add value.”  Yet the arrogance of this way of thinking is manifest: without the local knowledge this property of the neem tree would not have been “discovered,” and the genetic engineering in most cases adds little value to the traditional uses of the plant.  Shiva concludes, “IPRs allow for the privatization of biodiversity and the intellectual commons.”</w:t>
      </w:r>
      <w:r>
        <w:rPr>
          <w:rStyle w:val="FootnoteReference"/>
        </w:rPr>
        <w:footnoteReference w:id="31"/>
      </w:r>
    </w:p>
    <w:p w:rsidR="00EC13CB" w:rsidRDefault="00EC13CB"/>
    <w:p w:rsidR="00EC13CB" w:rsidRDefault="00EC13CB">
      <w:pPr>
        <w:rPr>
          <w:i/>
        </w:rPr>
      </w:pPr>
      <w:r>
        <w:rPr>
          <w:i/>
        </w:rPr>
        <w:t>Under the first heading, “Postmodernity and the Wall of Social Justice,” I just deleted the two secondary headings, “Imperialism, Privatization, and Dispossession” and “Globalization and the Fourth World.”(</w:t>
      </w:r>
      <w:proofErr w:type="gramStart"/>
      <w:r>
        <w:rPr>
          <w:i/>
        </w:rPr>
        <w:t>pp</w:t>
      </w:r>
      <w:proofErr w:type="gramEnd"/>
      <w:r>
        <w:rPr>
          <w:i/>
        </w:rPr>
        <w:t>. 37-49). This is part of the document I posted in “Resources” entitled “Excerpts on the Fourth World from Earth, Empire, and Sacred Text.” Here is the rest of the first chapter under that second heading, “Postmodernity and the Destruction of the Earth” (pp. 50-61).</w:t>
      </w:r>
    </w:p>
    <w:p w:rsidR="00EC13CB" w:rsidRDefault="00EC13CB">
      <w:pPr>
        <w:rPr>
          <w:i/>
        </w:rPr>
      </w:pPr>
    </w:p>
    <w:p w:rsidR="00EC13CB" w:rsidRDefault="00EC13CB">
      <w:pPr>
        <w:rPr>
          <w:i/>
        </w:rPr>
      </w:pPr>
    </w:p>
    <w:p w:rsidR="00EC13CB" w:rsidRDefault="00EC13CB" w:rsidP="00EC13CB">
      <w:pPr>
        <w:pStyle w:val="Heading1"/>
      </w:pPr>
      <w:r>
        <w:t>Postmodernity and the Destruction of Earth</w:t>
      </w:r>
    </w:p>
    <w:p w:rsidR="00EC13CB" w:rsidRDefault="00EC13CB" w:rsidP="00EC13CB">
      <w:pPr>
        <w:pStyle w:val="BodyText"/>
      </w:pPr>
      <w:r>
        <w:t>It comes as no surprise that the corporate greed that plundered whole continents and shamelessly exploited its peoples is now causing irreparable damage to our common home.  According to James Gustave Speth, Dean of the Yale School of Forestry and Environmental Studies and veteran international advisor on ecological issues, “[a] global crisis has unfolded quickly, and, as in classic Greek tragedy, we have been told what the future may hold, but so far we seem unable to step from the path to disaster that has been mapped out for us.  The last act is about to begin.”</w:t>
      </w:r>
      <w:r>
        <w:rPr>
          <w:rStyle w:val="FootnoteReference"/>
        </w:rPr>
        <w:footnoteReference w:id="32"/>
      </w:r>
    </w:p>
    <w:p w:rsidR="00EC13CB" w:rsidRDefault="00EC13CB" w:rsidP="00EC13CB">
      <w:pPr>
        <w:pStyle w:val="BodyText"/>
      </w:pPr>
      <w:r>
        <w:t>The 2002 Living Planet Report of the World Wildlife Fund concluded from its careful analysis of our biological environment measured the human factor as an “ecological footprint” by asking how much land was needed to sustain a human being at the current rate of consumption.  The average per capita “footprint” is now about 2.3 hectares for humankind.  The problem with this finding is twofold, however.  First, it is not sustainable, since “the ‘biological capacity’ of the earth is equal to just 1.9 hectares per person.”</w:t>
      </w:r>
      <w:r>
        <w:rPr>
          <w:rStyle w:val="FootnoteReference"/>
        </w:rPr>
        <w:footnoteReference w:id="33"/>
      </w:r>
      <w:r>
        <w:t xml:space="preserve">  Around 1980, humankind began to consume more of the earth’s resources than was being replenished.  Today, says the report, this consumption is twenty percent higher than the planet can afford, and if the present trends hold, that percentage will rise to fifty percent in 2050.  But the second problem may be even more worrisome, writes Mitzman: “[t]he report indicates that the ecological footprint is much deeper in North America and Europe—9.6 and 5 hectares per person respectively—than in Asia and Africa, where the use of resources is estimated at 1.4 hectares per person.”</w:t>
      </w:r>
      <w:r>
        <w:rPr>
          <w:rStyle w:val="FootnoteReference"/>
        </w:rPr>
        <w:footnoteReference w:id="34"/>
      </w:r>
    </w:p>
    <w:p w:rsidR="00EC13CB" w:rsidRDefault="00EC13CB" w:rsidP="00EC13CB">
      <w:pPr>
        <w:pStyle w:val="BodyText"/>
      </w:pPr>
      <w:r>
        <w:t>The National Geographic magazine recently featured a cover story, “Global Warming: Bulletins from a Warmer World.”</w:t>
      </w:r>
      <w:r>
        <w:rPr>
          <w:rStyle w:val="FootnoteReference"/>
        </w:rPr>
        <w:footnoteReference w:id="35"/>
      </w:r>
      <w:r>
        <w:t xml:space="preserve">  In an article gleaning from the work of scientists from many nationalities, universities and organizations, the consensus is emerging that our planet has warmed up by one degree in the last century, and that this temperature is projected to climb between 3 to 10 degrees Fahrenheit in this century, with disastrous consequences for humanity, and especially the poor.  Among the ominous signs of a brisk and brutal shift in global climate is upon us with unforeseeable costs on life and ecosystems:</w:t>
      </w:r>
      <w:r>
        <w:rPr>
          <w:rStyle w:val="FootnoteReference"/>
        </w:rPr>
        <w:footnoteReference w:id="36"/>
      </w:r>
    </w:p>
    <w:p w:rsidR="00EC13CB" w:rsidRDefault="00EC13CB" w:rsidP="00EC13CB">
      <w:pPr>
        <w:pStyle w:val="BodyText"/>
        <w:numPr>
          <w:ilvl w:val="0"/>
          <w:numId w:val="1"/>
        </w:numPr>
      </w:pPr>
      <w:r>
        <w:t>The Arctic perennial ice cover has decreased by nine percent per decade since 1979.</w:t>
      </w:r>
      <w:r>
        <w:rPr>
          <w:rStyle w:val="FootnoteReference"/>
        </w:rPr>
        <w:footnoteReference w:id="37"/>
      </w:r>
    </w:p>
    <w:p w:rsidR="00EC13CB" w:rsidRDefault="00EC13CB" w:rsidP="00EC13CB">
      <w:pPr>
        <w:pStyle w:val="BodyText"/>
        <w:numPr>
          <w:ilvl w:val="0"/>
          <w:numId w:val="1"/>
        </w:numPr>
      </w:pPr>
      <w:r>
        <w:t>The average winter temperatures of Antarctica have risen nearly 9</w:t>
      </w:r>
      <w:r>
        <w:rPr>
          <w:vertAlign w:val="superscript"/>
        </w:rPr>
        <w:t>o</w:t>
      </w:r>
      <w:r>
        <w:t xml:space="preserve"> F since 1900, with several species now threatened in their ability to survive.</w:t>
      </w:r>
      <w:r>
        <w:rPr>
          <w:rStyle w:val="FootnoteReference"/>
        </w:rPr>
        <w:footnoteReference w:id="38"/>
      </w:r>
    </w:p>
    <w:p w:rsidR="00EC13CB" w:rsidRDefault="00EC13CB" w:rsidP="00EC13CB">
      <w:pPr>
        <w:pStyle w:val="BodyText"/>
        <w:numPr>
          <w:ilvl w:val="0"/>
          <w:numId w:val="1"/>
        </w:numPr>
      </w:pPr>
      <w:r>
        <w:t>Alaska has warmed up over 3</w:t>
      </w:r>
      <w:r>
        <w:rPr>
          <w:vertAlign w:val="superscript"/>
        </w:rPr>
        <w:t>o</w:t>
      </w:r>
      <w:r>
        <w:t xml:space="preserve"> F over the last three decades, with much of its permafrost now melting.</w:t>
      </w:r>
      <w:r>
        <w:rPr>
          <w:rStyle w:val="FootnoteReference"/>
        </w:rPr>
        <w:footnoteReference w:id="39"/>
      </w:r>
    </w:p>
    <w:p w:rsidR="00EC13CB" w:rsidRDefault="00EC13CB" w:rsidP="00EC13CB">
      <w:pPr>
        <w:pStyle w:val="BodyText"/>
        <w:numPr>
          <w:ilvl w:val="0"/>
          <w:numId w:val="1"/>
        </w:numPr>
      </w:pPr>
      <w:r>
        <w:t>The five hottest years on record are since 1998.</w:t>
      </w:r>
    </w:p>
    <w:p w:rsidR="00EC13CB" w:rsidRDefault="00EC13CB" w:rsidP="00EC13CB">
      <w:pPr>
        <w:pStyle w:val="BodyText"/>
        <w:numPr>
          <w:ilvl w:val="0"/>
          <w:numId w:val="1"/>
        </w:numPr>
      </w:pPr>
      <w:r>
        <w:t>Oceans, which are important centers of carbon dioxide (CO</w:t>
      </w:r>
      <w:r>
        <w:rPr>
          <w:vertAlign w:val="subscript"/>
        </w:rPr>
        <w:t>2</w:t>
      </w:r>
      <w:r>
        <w:t>) absorption, are warming up dangerously, with CO</w:t>
      </w:r>
      <w:r>
        <w:rPr>
          <w:vertAlign w:val="subscript"/>
        </w:rPr>
        <w:t>2</w:t>
      </w:r>
      <w:r>
        <w:t xml:space="preserve"> levels rising fastest in the deepest waters.</w:t>
      </w:r>
    </w:p>
    <w:p w:rsidR="00EC13CB" w:rsidRDefault="00EC13CB" w:rsidP="00EC13CB">
      <w:pPr>
        <w:pStyle w:val="BodyText"/>
        <w:numPr>
          <w:ilvl w:val="0"/>
          <w:numId w:val="1"/>
        </w:numPr>
      </w:pPr>
      <w:r>
        <w:t>The rapid melting of both polar caps has altered the salinity of the oceans, and with rising temperatures of the waters this portends major disruptions in the thermohaline circulation system (pattern of ocean currents, which in turn are crucial to global climate control).</w:t>
      </w:r>
      <w:r>
        <w:rPr>
          <w:rStyle w:val="FootnoteReference"/>
        </w:rPr>
        <w:footnoteReference w:id="40"/>
      </w:r>
    </w:p>
    <w:p w:rsidR="00EC13CB" w:rsidRDefault="00EC13CB" w:rsidP="00EC13CB">
      <w:pPr>
        <w:pStyle w:val="BodyText"/>
        <w:numPr>
          <w:ilvl w:val="0"/>
          <w:numId w:val="1"/>
        </w:numPr>
      </w:pPr>
      <w:r>
        <w:t>One barometer of warming seas is its coral reefs: the hottest year, 1998, bleached 16% of the world reefs, most of which will never recover.</w:t>
      </w:r>
    </w:p>
    <w:p w:rsidR="00EC13CB" w:rsidRDefault="00EC13CB" w:rsidP="00EC13CB">
      <w:pPr>
        <w:pStyle w:val="BodyText"/>
        <w:numPr>
          <w:ilvl w:val="0"/>
          <w:numId w:val="1"/>
        </w:numPr>
      </w:pPr>
      <w:r>
        <w:t>In the cold regions of the world, winter starts measurably later each fall and ends earlier each spring.</w:t>
      </w:r>
    </w:p>
    <w:p w:rsidR="00EC13CB" w:rsidRDefault="00EC13CB" w:rsidP="00EC13CB">
      <w:pPr>
        <w:pStyle w:val="BodyText"/>
        <w:numPr>
          <w:ilvl w:val="0"/>
          <w:numId w:val="1"/>
        </w:numPr>
      </w:pPr>
      <w:r>
        <w:t>The world’s glaciers are melting dramatically, at all latitudes, portending two ominous scenarios in the not distant future: loss of drinking water for many populations, and rising sea levels that will decimate low-lying poor countries like Bangladesh.</w:t>
      </w:r>
    </w:p>
    <w:p w:rsidR="00EC13CB" w:rsidRDefault="00EC13CB" w:rsidP="00EC13CB">
      <w:pPr>
        <w:pStyle w:val="BodyText"/>
      </w:pPr>
      <w:r>
        <w:t>Contemporary studies based on ice cores, fossil pollen, fossil marine organisms, and sediments from oceans and lakes, show that the earth has experienced several cycles of ice ages (with the last global meltdown around 19,000 years ago), suggesting that we are now in an extended interglacial period.  This would seem to refute the contention of most scientists that the rising levels of CO</w:t>
      </w:r>
      <w:r>
        <w:rPr>
          <w:vertAlign w:val="subscript"/>
        </w:rPr>
        <w:t>2</w:t>
      </w:r>
      <w:r>
        <w:t xml:space="preserve"> and global temperatures are the main causes of the climate changes observed today, mainly by increased burning of fossil fuels, the clearing of forests and the higher emissions of heat-trapping gases like carbon dioxide, nitrous oxide and methane.  Though we now know that these rhythms are also caused by astronomical phenomena, the sharp rise in CO</w:t>
      </w:r>
      <w:r>
        <w:rPr>
          <w:vertAlign w:val="subscript"/>
        </w:rPr>
        <w:t>2</w:t>
      </w:r>
      <w:r>
        <w:t xml:space="preserve"> levels since 1950 has led the majority of scientists to impugn humanity’s footprint.  In the words of the 2002 report by the National Academy of Sciences, “Recent scientific evidence shows that major and widespread climate changes have occurred with startling speed. . . . [G]reenhouse warming and other human alterations of the earth system may increase the possibility of large, abrupt, and unwelcome regional or global climactic events.”</w:t>
      </w:r>
      <w:r>
        <w:rPr>
          <w:rStyle w:val="FootnoteReference"/>
        </w:rPr>
        <w:footnoteReference w:id="41"/>
      </w:r>
    </w:p>
    <w:p w:rsidR="00EC13CB" w:rsidRDefault="00EC13CB" w:rsidP="00EC13CB">
      <w:pPr>
        <w:pStyle w:val="BodyText"/>
      </w:pPr>
      <w:r>
        <w:t>Yet dramatic climate change is only part of the alarming ailments of our planet.  Butting against the headlong rush of modernity to madly produce and consume is the hard fact of environmental deterioration.  Its two major trends are “pollution and biological impoverishment.”</w:t>
      </w:r>
      <w:r>
        <w:rPr>
          <w:rStyle w:val="FootnoteReference"/>
        </w:rPr>
        <w:footnoteReference w:id="42"/>
      </w:r>
      <w:r>
        <w:t xml:space="preserve">  Pollution, first of all, should be defined as the presence of excessive quantities of elements that disrupt ecosystems.  Plant nutrients like phosphates are necessary to rivers and streams, but beyond a certain quantity, they rob the water of the oxygen that aquatic organisms need.  Equally, carbon dioxide keeps the atmosphere around the earth warm enough for its inhabitants to live, but in greater quantities, it acts like a greenhouse and traps the rising heat.  Many pollutants, like mercury, dioxin and PCBs, are toxic even in small quantities, causing cancer and reproductive disorders.  Speth estimates that “pollution is occurring on a vast and unprecedented scale worldwide.  It is pervasive, quite literally, affecting in some way virtually everyone and everything.”</w:t>
      </w:r>
      <w:r>
        <w:rPr>
          <w:rStyle w:val="FootnoteReference"/>
        </w:rPr>
        <w:footnoteReference w:id="43"/>
      </w:r>
    </w:p>
    <w:p w:rsidR="00EC13CB" w:rsidRDefault="00EC13CB" w:rsidP="00EC13CB">
      <w:pPr>
        <w:pStyle w:val="BodyText"/>
      </w:pPr>
      <w:r>
        <w:t>Speth discerns four trends in the spread of pollution: (1) quantities are growing exponentially, like greenhouse gases, sulfur dioxide and nitrogen oxide (causing smog and acid rain), hazardous wastes (2.5 billion pounds released annually in the US alone); (2) from visible agents to microscope ones, mainly resulting from chemical (“pesticides, plastics, industrial chemicals, medical products, detergents, food additives”)</w:t>
      </w:r>
      <w:r>
        <w:rPr>
          <w:rStyle w:val="FootnoteReference"/>
        </w:rPr>
        <w:footnoteReference w:id="44"/>
      </w:r>
      <w:r>
        <w:t xml:space="preserve"> and nuclear industries; (3) from First World to Third World: the developing world is host to the worst water and air pollution today, with higher exposure to toxic chemicals, and to many devastating industrial accidents;</w:t>
      </w:r>
      <w:r>
        <w:rPr>
          <w:rStyle w:val="FootnoteReference"/>
        </w:rPr>
        <w:footnoteReference w:id="45"/>
      </w:r>
      <w:r>
        <w:t xml:space="preserve"> (4) from local to global effects: acid rain and smog destroy the quality of people’s lives in many regions of the world, but “the depletion of the stratosphere’s ozone layer, despite dramatic reductions in CFC use,</w:t>
      </w:r>
      <w:r>
        <w:rPr>
          <w:rStyle w:val="FootnoteReference"/>
        </w:rPr>
        <w:footnoteReference w:id="46"/>
      </w:r>
      <w:r>
        <w:t xml:space="preserve">  Finally, the greatest threat to the survival of our planet’s life forms—including our own—is global warming and the inevitability of severe climate changes up ahead.</w:t>
      </w:r>
    </w:p>
    <w:p w:rsidR="00EC13CB" w:rsidRDefault="00EC13CB" w:rsidP="00EC13CB">
      <w:pPr>
        <w:pStyle w:val="BodyText"/>
      </w:pPr>
      <w:r>
        <w:t>The equally troubling fact of biodiversity loss also surfaced in the early 1980s.  Biologist E. O. Wilson gave this now famous defense of the Endangered Species Act of 1982 before Congress:</w:t>
      </w:r>
    </w:p>
    <w:p w:rsidR="00EC13CB" w:rsidRDefault="00EC13CB" w:rsidP="00EC13CB">
      <w:pPr>
        <w:pStyle w:val="BlockText"/>
      </w:pPr>
      <w:r>
        <w:t>The worst thing that can happen during the 1980s is not energy depletion, economic collapse, limited nuclear war, or conquest by a totalitarian government.  As terrible as these catastrophes would be for us, they can be repaired within a few generations.  The one process ongoing in the 1980s that will take millions of years to correct is the loss of genetic and species diversity by the destruction of natural habitats.  This is the folly our descendants are least likely to forgive us.</w:t>
      </w:r>
      <w:r>
        <w:rPr>
          <w:rStyle w:val="FootnoteReference"/>
        </w:rPr>
        <w:footnoteReference w:id="47"/>
      </w:r>
    </w:p>
    <w:p w:rsidR="00EC13CB" w:rsidRDefault="00EC13CB" w:rsidP="00EC13CB">
      <w:pPr>
        <w:pStyle w:val="BodyText"/>
      </w:pPr>
      <w:r>
        <w:t>Over twenty years later, the global scientific community is not so much concerned about specific endangered species than it is about conserving ecosystems—which is far more serious in the long run.  The biologist at the head of the international Millenium Ecosystem Assessment, Walter Reid, warns that “ecosystem change . . . [and loss] of the ability of these systems to meet human needs”—much more than the problem of species extinction—has far-reaching “practical consequences for human livelihoods and U.S. interests.”</w:t>
      </w:r>
      <w:r>
        <w:rPr>
          <w:rStyle w:val="FootnoteReference"/>
        </w:rPr>
        <w:footnoteReference w:id="48"/>
      </w:r>
      <w:r>
        <w:t xml:space="preserve">  As humans we draw our very life from the ecosystems that nourish us.  They are “the productive engines of the planet. . . from the water we drink to the food we eat, from the sea that gives up its wealth of its products, to the land on which we build our homes.”</w:t>
      </w:r>
      <w:r>
        <w:rPr>
          <w:rStyle w:val="FootnoteReference"/>
        </w:rPr>
        <w:footnoteReference w:id="49"/>
      </w:r>
      <w:r>
        <w:t xml:space="preserve">  Ecosystems are what provide us with pure water and air, supervise the process of decomposition and recycling of nutrients, and protect the biodiversity that is vital to their sustainability.  Yet life is seeping away from the system as we speak:</w:t>
      </w:r>
    </w:p>
    <w:p w:rsidR="00EC13CB" w:rsidRDefault="00EC13CB" w:rsidP="00EC13CB">
      <w:pPr>
        <w:pStyle w:val="BlockText"/>
      </w:pPr>
      <w:r>
        <w:t>At this moment, in all nations—rich and poor—people are experiencing the effects of ecosystem decline in one guise or another: water shortages in the Punjab, India; soil erosion in Tuva, Russia; fish kills off the coast of North Carolina in the United States; landslides on the deforested slopes of Honduras; fires in the disturbed forests of Borneo and Sumatra in Indonesia.</w:t>
      </w:r>
      <w:r>
        <w:rPr>
          <w:rStyle w:val="FootnoteReference"/>
        </w:rPr>
        <w:footnoteReference w:id="50"/>
      </w:r>
    </w:p>
    <w:p w:rsidR="00EC13CB" w:rsidRDefault="00EC13CB" w:rsidP="00EC13CB">
      <w:pPr>
        <w:pStyle w:val="BodyText"/>
      </w:pPr>
      <w:r>
        <w:t>Who or what is responsible for this?  Undoubtedly, Speth is right in saying that behind the answer lies “a reality of immense complexity.”</w:t>
      </w:r>
      <w:r>
        <w:rPr>
          <w:rStyle w:val="FootnoteReference"/>
        </w:rPr>
        <w:footnoteReference w:id="51"/>
      </w:r>
      <w:r>
        <w:t xml:space="preserve">  Quoting others, he opines that the Seattle demonstrators were not objecting to globalization as such, but the neoliberal, market-driven kind.  Then he discards for a moment his characteristic caution and cites approvingly Martin Khor, director of Third World Network, in his assessment of the world community’s failure to implement the clear guidelines emanating from the 1992 Rio Earth Summit.  Khor does not see this failure coming from the paradigm of sustainable development itself.  Rather, “intense competition came from a rival—the countervailing paradigm of globalization, driven by the industrialized North and its corporations, that has swept the world in recent years.”</w:t>
      </w:r>
      <w:r>
        <w:rPr>
          <w:rStyle w:val="FootnoteReference"/>
        </w:rPr>
        <w:footnoteReference w:id="52"/>
      </w:r>
      <w:r>
        <w:t xml:space="preserve">  In fact, in several places of his book, Speth blames the Bush administration for its dismal record on ecological integrity, and especially its reneging on the 1997 Kyoto Agreement.</w:t>
      </w:r>
    </w:p>
    <w:p w:rsidR="00EC13CB" w:rsidRDefault="00EC13CB" w:rsidP="00EC13CB">
      <w:pPr>
        <w:pStyle w:val="BodyText"/>
      </w:pPr>
      <w:r>
        <w:t>Beyond the pointing of fingers, at stake is a vision of the world and the possibility of creating a common perception of who we are as humans in relation to our physical environment.  The modern paradigms of unlimited economic expansion and the commodification of the commons are, when all is said and done, at the root of our current predicament.</w:t>
      </w:r>
    </w:p>
    <w:p w:rsidR="00EC13CB" w:rsidRDefault="00EC13CB" w:rsidP="00EC13CB">
      <w:pPr>
        <w:pStyle w:val="Heading1"/>
      </w:pPr>
      <w:r>
        <w:t>Beyond Modernity: A Holistic Vision of Eco-Justice</w:t>
      </w:r>
    </w:p>
    <w:p w:rsidR="00EC13CB" w:rsidRDefault="00EC13CB" w:rsidP="00EC13CB">
      <w:pPr>
        <w:pStyle w:val="BodyText"/>
      </w:pPr>
      <w:r>
        <w:t>As might be expected, Vandana Shiva is not as sanguine as some about the chances of the present world system’s ability to reform itself.  In a recent book she argues that “[t]he water crisis is the most pervasive, most severe, and most invisible dimension of the ecological devastation of the earth.”</w:t>
      </w:r>
      <w:r>
        <w:rPr>
          <w:rStyle w:val="FootnoteReference"/>
        </w:rPr>
        <w:footnoteReference w:id="53"/>
      </w:r>
      <w:r>
        <w:t xml:space="preserve">  Already a prominent physicist in her native India while in her thirties, Shiva was shocked by the devastation inflicted by the greed of multinationals and their local allies, and particularly the foresting industry in the Himalayas.  She recounts:</w:t>
      </w:r>
    </w:p>
    <w:p w:rsidR="00EC13CB" w:rsidRDefault="00EC13CB" w:rsidP="00EC13CB">
      <w:pPr>
        <w:pStyle w:val="BlockText"/>
      </w:pPr>
      <w:r>
        <w:tab/>
        <w:t>Cherapunji in northeast India is the wettest region on earth, with 11 meters of rainfall a year.  Today, its forests are gone and Cherapunji has a drinking-water problem.  My own transition from physics to ecology was spurred by the disappearance of Himalayan streams in which I played as a child.  The Chipko movement was launched to stop the destruction of water resources through logging in the area.</w:t>
      </w:r>
      <w:r>
        <w:rPr>
          <w:rStyle w:val="FootnoteReference"/>
        </w:rPr>
        <w:footnoteReference w:id="54"/>
      </w:r>
    </w:p>
    <w:p w:rsidR="00EC13CB" w:rsidRDefault="00EC13CB" w:rsidP="00EC13CB">
      <w:pPr>
        <w:pStyle w:val="BodyText"/>
      </w:pPr>
      <w:r>
        <w:t>The systematic elimination of the forests triggered a chain of negative results, some more predictable than others: soil erosion, mud slides, flooding of the plains, the unsustainability to the ecosystem due to the firs planted in place of the original oaks, and the beginning of more extreme storms.  Indeed, deforestation, industrial agriculture, overmining and aquaculture have unleashed an era of ruthless climate change.  In the state of Orissa, Shiva describes the havoc wreaked by the 1999 cyclone: nearly two million houses destroyed; extensive destruction of paddy crops in twelve coastal districts; all of the banana and papaya plantations destroyed; eighty percent of coconut trees uprooted or cut in two, and 15,000 ponds either salinated or contaminated.  In addition, the cyclone killed more than 300,000 cattle and, by some estimates, over 20,000 people.  Two years later, Orissa experienced its worst drought on record, followed by its worst flood, severely affecting more than six million people.</w:t>
      </w:r>
    </w:p>
    <w:p w:rsidR="00EC13CB" w:rsidRDefault="00EC13CB" w:rsidP="00EC13CB">
      <w:pPr>
        <w:pStyle w:val="BodyText"/>
      </w:pPr>
      <w:r>
        <w:t>The most recent report of the Intergovernmental Panel on Climate Change (IPCC) involved the collaboration of over one thousand scientists.  According to the “Climate Change 2001” report, the climbing temperatures of the earth “will lead to crop failures, water shortages, increased disease, flooding, landslides, and cyclones.”  Insurance companies are now greatly concerned about the issue: “The Global Commons Institute has assessed that damages due to climate change could amount to $200 billion by 2005” and that by 2050 “the property damage could reach $20 trillion.”</w:t>
      </w:r>
      <w:r>
        <w:rPr>
          <w:rStyle w:val="FootnoteReference"/>
        </w:rPr>
        <w:footnoteReference w:id="55"/>
      </w:r>
    </w:p>
    <w:p w:rsidR="00EC13CB" w:rsidRDefault="00EC13CB" w:rsidP="00EC13CB">
      <w:pPr>
        <w:pStyle w:val="BodyText"/>
      </w:pPr>
      <w:r>
        <w:t>Much of this can be attributed to the avarice of unregulated business and commerce.  The multiplication of shrimp ponds (destined for the enjoyment of the rich westerners), for instance, along the coast of India and Bangladesh, account for the systematic destruction of the mangroves that once stood between ocean and land, forming a natural barrier against tides and storms and absorbing the nitrates and phosphates of waters flowing into the ocean.  Yet besides industrial greed, one would also have to indict the western drive to subdue nature in the form of dams and large-scale irrigation.  Already in the western United States specialists deplore the building of the great dams.  In these states, “irrigation accounts for 90 percent of total water consumption.  Irrigated land increased from four million acres in 1890 to nearly 60 million in 1977 . . . . These areas are also affected by soil salinity because of salts dumped into rivers when irrigation waters drain.”  The rising salinity of the soils decreases the fertility of the soil, and that problem compounds with time.  In California’s artificial “green belt,” the San Joaquin Valley, “crop yields have declined by 10 percent since 1970, an estimated loss of $312 million annually.”</w:t>
      </w:r>
      <w:r>
        <w:rPr>
          <w:rStyle w:val="FootnoteReference"/>
        </w:rPr>
        <w:footnoteReference w:id="56"/>
      </w:r>
    </w:p>
    <w:p w:rsidR="00EC13CB" w:rsidRDefault="00EC13CB" w:rsidP="00EC13CB">
      <w:pPr>
        <w:pStyle w:val="BodyText"/>
      </w:pPr>
      <w:r>
        <w:t>As always, the result of reckless technologies in the hands of corporations and governments that have privatized that which from time immemorial belonged to all people has created the greatest suffering among the world’s poor.  Yet, as Shiva shows, a revival of indigenous technologies and community management of water resources is noticeable, and it spells hope for the future.  She explains: “cultures that waste water or destroy the fragile web of the water cycle create scarcity even under conditions of abundance.  Those that save every drop can create abundance out of scarcity.  Indigenous cultures and local communities have excelled in water conservation technologies.”</w:t>
      </w:r>
      <w:r>
        <w:rPr>
          <w:rStyle w:val="FootnoteReference"/>
        </w:rPr>
        <w:footnoteReference w:id="57"/>
      </w:r>
      <w:r>
        <w:t xml:space="preserve">  A vision urgently needed today is contained in India’s Hindu culture.  For Indians, every river is sacred.</w:t>
      </w:r>
    </w:p>
    <w:p w:rsidR="00EC13CB" w:rsidRDefault="00EC13CB" w:rsidP="00EC13CB">
      <w:pPr>
        <w:pStyle w:val="BodyText"/>
      </w:pPr>
      <w:r>
        <w:t>Recall that at the heart of the modern (and western) expansionist paradigm launched in 1492 was the idea of collective ownership of the world (due to the superior rights God had granted to Christian kings) and a nascent capitalist ideology—expressed in the initial charters and patents and in the preference of private property over that of community management of the commons—progressively gave birth to the corporations.  These, in turn, propelled the Industrial Revolution that empowered the European Empires to establish and exploit their far-flung empires.  As colonial independence movements gathered momentum in the early twentieth century, the inherently expansionist tendencies of capitalist accumulation—coupled with growing nationalism in the wealthy states of Europe—created a tension that eventually exploded in 1914, dragging the whole world into Europe’s civil war, and then into a second one in 1939.  After WWII, however, what was supposed to have been a process of decolonization quickly gave way to a new kind of political and economic colonization of the so-called Third World—the raw powers of modernity unleashed in two different modes, both equally voracious when it comes to devouring natural resources and polluting the commons of humanity—water and air.</w:t>
      </w:r>
    </w:p>
    <w:p w:rsidR="00EC13CB" w:rsidRDefault="00EC13CB" w:rsidP="00EC13CB">
      <w:pPr>
        <w:pStyle w:val="BodyText"/>
      </w:pPr>
      <w:r>
        <w:t xml:space="preserve">When the Second World collapsed in 1989, the neoliberal, free-market fundamentalist brand of capitalism unleashed in the 1970s now became the ruling ideology of the United States, Japan and their European allies, and the transnational corporations merged back and forth, growing into behemoths and reaching everywhere.  Speth in his book, </w:t>
      </w:r>
      <w:r>
        <w:rPr>
          <w:i/>
        </w:rPr>
        <w:t>Red Sky at Morning</w:t>
      </w:r>
      <w:r>
        <w:t>, is cautiously critical of this system, if only, I surmise, because he is an insider who wants to convince American opinion leaders and politicians to change their ways.  Indeed, back in 1977, President Jimmy Carter asked the State Department and the Council on Environmental Quality (CEQ) to study the “probable changes in the world’s population, natural resources and environment through the end of the century.”  Speth, as one of the three members of CEQ, was soon to become its chair.  The first part of the report was presented to Carter in 1979 and a separate report by the National Academy of Sciences, the “Charney Report,” bolstered their conclusions.  From then on, Speth and his colleagues focused their attention on climate change and in a 1981 report that detailed the potentially disastrous effect of the global production of greenhouse gases and made detailed recommendations for an international effort to curb this trend.  Significantly, this report contains a vision of the world that borders on the theological:</w:t>
      </w:r>
    </w:p>
    <w:p w:rsidR="00EC13CB" w:rsidRDefault="00EC13CB" w:rsidP="00EC13CB">
      <w:pPr>
        <w:pStyle w:val="BlockText"/>
      </w:pPr>
      <w:r>
        <w:tab/>
        <w:t>Whatever the consequences of the carbon dioxide experiment for humanity over the long term, our duty to exercise a conserving and protecting restraint extends as well to the community of life—animal and plant—that evolved around us.  There are limits beyond which we should not go in disrupting or changing this community of life, which, after all, we did not create.  Although our dominion over earth may be nearly absolute, our right to exercise it is not.</w:t>
      </w:r>
      <w:r>
        <w:rPr>
          <w:rStyle w:val="FootnoteReference"/>
        </w:rPr>
        <w:footnoteReference w:id="58"/>
      </w:r>
    </w:p>
    <w:p w:rsidR="00EC13CB" w:rsidRDefault="00EC13CB" w:rsidP="00EC13CB">
      <w:pPr>
        <w:pStyle w:val="BodyText"/>
      </w:pPr>
      <w:r>
        <w:t>With the knowledge we now have of the past, as human occupants of this earth and as a species embedded in it and totally dependent on its well-being, we dare not ignore the tell-tale signs of devastation ahead.  This is the message that scientists from the International Geosphere-Biosphere Program want to pass on to all of us today:</w:t>
      </w:r>
    </w:p>
    <w:p w:rsidR="00EC13CB" w:rsidRDefault="00EC13CB" w:rsidP="00EC13CB">
      <w:pPr>
        <w:pStyle w:val="BlockText"/>
      </w:pPr>
      <w:r>
        <w:t>The evidence is now overwhelming that [rising temperatures] are a consequence of human activities. . . . [W]e are now pushing the planet beyond anything experienced naturally for many thousands of years.  The records of the past show that climate shifts can appear abruptly and be global in extent, while archaeological and other data emphasize that such shifts have had devastating consequences for human societies.  In the past, therefore, lies a lesson.</w:t>
      </w:r>
      <w:r>
        <w:rPr>
          <w:rStyle w:val="FootnoteReference"/>
        </w:rPr>
        <w:footnoteReference w:id="59"/>
      </w:r>
    </w:p>
    <w:p w:rsidR="00EC13CB" w:rsidRDefault="00EC13CB" w:rsidP="00EC13CB">
      <w:pPr>
        <w:pStyle w:val="BodyText"/>
      </w:pPr>
      <w:r>
        <w:t>Unfortunately, it is still business as usual, and in the corporate and finance centers of the world the modern worship of economic growth continues unabated.  We seem oblivious to the fact that humankind has now passed the “historical transitional point in the evolutionary development of our species from living in a world of open frontiers to living in a full world.”</w:t>
      </w:r>
      <w:r>
        <w:rPr>
          <w:rStyle w:val="FootnoteReference"/>
        </w:rPr>
        <w:footnoteReference w:id="60"/>
      </w:r>
      <w:r>
        <w:t xml:space="preserve">  Speth tabulates the growth statistics of the last three decades:</w:t>
      </w:r>
    </w:p>
    <w:p w:rsidR="00EC13CB" w:rsidRDefault="00EC13CB" w:rsidP="00EC13CB">
      <w:pPr>
        <w:pStyle w:val="BodyText"/>
        <w:numPr>
          <w:ilvl w:val="0"/>
          <w:numId w:val="2"/>
        </w:numPr>
      </w:pPr>
      <w:r>
        <w:t>Global population</w:t>
      </w:r>
      <w:r>
        <w:tab/>
      </w:r>
      <w:r>
        <w:tab/>
        <w:t>up 35 percent</w:t>
      </w:r>
    </w:p>
    <w:p w:rsidR="00EC13CB" w:rsidRDefault="00EC13CB" w:rsidP="00EC13CB">
      <w:pPr>
        <w:pStyle w:val="BodyText"/>
        <w:numPr>
          <w:ilvl w:val="0"/>
          <w:numId w:val="2"/>
        </w:numPr>
      </w:pPr>
      <w:r>
        <w:t>World economic output</w:t>
      </w:r>
      <w:r>
        <w:tab/>
        <w:t>up 75 percent</w:t>
      </w:r>
    </w:p>
    <w:p w:rsidR="00EC13CB" w:rsidRDefault="00EC13CB" w:rsidP="00EC13CB">
      <w:pPr>
        <w:pStyle w:val="BodyText"/>
        <w:numPr>
          <w:ilvl w:val="0"/>
          <w:numId w:val="2"/>
        </w:numPr>
      </w:pPr>
      <w:r>
        <w:t>Global energy use</w:t>
      </w:r>
      <w:r>
        <w:tab/>
      </w:r>
      <w:r>
        <w:tab/>
        <w:t>up 40 percent</w:t>
      </w:r>
    </w:p>
    <w:p w:rsidR="00EC13CB" w:rsidRDefault="00EC13CB" w:rsidP="00EC13CB">
      <w:pPr>
        <w:pStyle w:val="BodyText"/>
        <w:numPr>
          <w:ilvl w:val="0"/>
          <w:numId w:val="2"/>
        </w:numPr>
      </w:pPr>
      <w:r>
        <w:t>Global meat consumption</w:t>
      </w:r>
      <w:r>
        <w:tab/>
        <w:t>up 70 percent</w:t>
      </w:r>
    </w:p>
    <w:p w:rsidR="00EC13CB" w:rsidRDefault="00EC13CB" w:rsidP="00EC13CB">
      <w:pPr>
        <w:pStyle w:val="BodyText"/>
        <w:numPr>
          <w:ilvl w:val="0"/>
          <w:numId w:val="2"/>
        </w:numPr>
      </w:pPr>
      <w:r>
        <w:t>World auto production</w:t>
      </w:r>
      <w:r>
        <w:tab/>
        <w:t>up 45 percent</w:t>
      </w:r>
    </w:p>
    <w:p w:rsidR="00EC13CB" w:rsidRDefault="00EC13CB" w:rsidP="00EC13CB">
      <w:pPr>
        <w:pStyle w:val="BodyText"/>
        <w:numPr>
          <w:ilvl w:val="0"/>
          <w:numId w:val="2"/>
        </w:numPr>
      </w:pPr>
      <w:r>
        <w:t>Global paper use</w:t>
      </w:r>
      <w:r>
        <w:tab/>
      </w:r>
      <w:r>
        <w:tab/>
        <w:t>up 90 percent</w:t>
      </w:r>
    </w:p>
    <w:p w:rsidR="00EC13CB" w:rsidRDefault="00EC13CB" w:rsidP="00EC13CB">
      <w:pPr>
        <w:pStyle w:val="BodyText"/>
        <w:numPr>
          <w:ilvl w:val="0"/>
          <w:numId w:val="2"/>
        </w:numPr>
      </w:pPr>
      <w:r>
        <w:t>Advertising globally</w:t>
      </w:r>
      <w:r>
        <w:tab/>
      </w:r>
      <w:r>
        <w:tab/>
        <w:t>up 100 percent</w:t>
      </w:r>
      <w:r>
        <w:rPr>
          <w:rStyle w:val="FootnoteReference"/>
        </w:rPr>
        <w:footnoteReference w:id="61"/>
      </w:r>
    </w:p>
    <w:p w:rsidR="00EC13CB" w:rsidRDefault="00EC13CB" w:rsidP="00EC13CB">
      <w:pPr>
        <w:pStyle w:val="BodyText"/>
      </w:pPr>
      <w:r>
        <w:t xml:space="preserve">The science of ecology reminds us that as human beings we share the same planet.  This fact takes on greater meaning in the twenty-first century as we realize that not only do the rich of today have a moral obligation to the poor, but also to all the future generations who will inherit a more toxic, infertile and inhospitable planet.  Already in 1968, Kenneth Boulding was chiding his fellow Americans that they considered the earth a vast cowboy prairie.  Manifest destiny—beyond its racist implications—assumes the modern paradigm of limitless frontiers and resources to exploit.  No, says Boulding, the earth is more like a spaceship.  David Korten extends Boulding’s analogy: “Life on a spaceship can be sustained only through the cooperation of all of the spaceship’s inhabitants. . . . No increase in economic output in the spaceship can be counted as an advance unless it is based on sustainable processes </w:t>
      </w:r>
      <w:r>
        <w:rPr>
          <w:i/>
        </w:rPr>
        <w:t>and</w:t>
      </w:r>
      <w:r>
        <w:t xml:space="preserve"> translates into justly distributed benefits for the spaceship’s inhabitants.”</w:t>
      </w:r>
      <w:r>
        <w:rPr>
          <w:rStyle w:val="FootnoteReference"/>
        </w:rPr>
        <w:footnoteReference w:id="62"/>
      </w:r>
    </w:p>
    <w:p w:rsidR="00EC13CB" w:rsidRDefault="00EC13CB" w:rsidP="00EC13CB">
      <w:pPr>
        <w:pStyle w:val="BodyText"/>
      </w:pPr>
      <w:r>
        <w:t>In a similar vein, Boutros Boutros-Ghali, then General Secretary of the U.N., spoke at the 1992 Rio Earth Summit about a needed paradigm shift in the self-consciousness of the world community: “Every new triumph over nature will in fact be a triumph over ourselves.  Progress, then, is not necessarily compatible with life; we may no longer take the logic of the infinite for granted.”  He then went on to define “sustainable development”: “Development that meets the needs of the present as long as resources are renewed, or, in other words, that does not compromise the development of future generations.”</w:t>
      </w:r>
      <w:r>
        <w:rPr>
          <w:rStyle w:val="FootnoteReference"/>
        </w:rPr>
        <w:footnoteReference w:id="63"/>
      </w:r>
      <w:r>
        <w:t xml:space="preserve">  This implies shifting to a conservation mode.  Among other implications, this means ensuring that indigenous people, especially those who have not yet been forced into the urban centers to conserve their natural resources so as to allow them to “preserve and enhance their quality of life.”</w:t>
      </w:r>
      <w:r>
        <w:rPr>
          <w:rStyle w:val="FootnoteReference"/>
        </w:rPr>
        <w:footnoteReference w:id="64"/>
      </w:r>
    </w:p>
    <w:p w:rsidR="00EC13CB" w:rsidRDefault="00EC13CB" w:rsidP="00EC13CB">
      <w:pPr>
        <w:pStyle w:val="BodyText"/>
      </w:pPr>
      <w:r>
        <w:t xml:space="preserve">Before the double wall of unsustainability of the present world—social injustice and ecological collapse—we can make a choice, as people from many cultures and perspectives, and especially as Muslims and Christians, and opt for dialogue.  </w:t>
      </w:r>
    </w:p>
    <w:p w:rsidR="00EC13CB" w:rsidRDefault="00EC13CB" w:rsidP="00EC13CB">
      <w:pPr>
        <w:pStyle w:val="BodyText"/>
      </w:pPr>
      <w:r>
        <w:t>I simply end here with the theological question that will preoccupy us for the rest of the book: what is the connection between the human trusteeship and our current predicament?  How do we interpret our human mastery over the rest of creation?  And what of our “dominion” of the earth, which under the modern paradigm has meant tearing down, destroying and subverting its God-given balance and fertility?</w:t>
      </w:r>
    </w:p>
    <w:p w:rsidR="00EC13CB" w:rsidRDefault="00EC13CB" w:rsidP="00EC13CB">
      <w:pPr>
        <w:pStyle w:val="BodyText"/>
      </w:pPr>
      <w:r>
        <w:t>Leaving behind the modern paradigm that led us to colonialism, neocolonialism and ecological devastation, we turn to a new, more holistic one, which in a postmodern world must seek to include both “community responsibility and ecological balance.”  Rasmussen believes this has the merit of pointing “to webs of social relationships that define human community, together with ecosystem, webs and the regenerative capacities of both human and ecosystems communities.”</w:t>
      </w:r>
      <w:r>
        <w:rPr>
          <w:rStyle w:val="FootnoteReference"/>
        </w:rPr>
        <w:footnoteReference w:id="65"/>
      </w:r>
      <w:r>
        <w:t xml:space="preserve">  Earth community, as the purpose and goal of creation, includes humankind and “otherkind.”  Issues of social justice necessarily involve ecological considerations.</w:t>
      </w:r>
      <w:r>
        <w:rPr>
          <w:rStyle w:val="FootnoteReference"/>
        </w:rPr>
        <w:footnoteReference w:id="66"/>
      </w:r>
    </w:p>
    <w:p w:rsidR="00EC13CB" w:rsidRDefault="00EC13CB" w:rsidP="00EC13CB">
      <w:pPr>
        <w:pStyle w:val="BodyText"/>
      </w:pPr>
      <w:r>
        <w:t>Maurice Strong, the Secretary-General for the UNCED, the United Nations branch that hosted the non-governmental consultations at the Rio Summit of 1992, is also a man of faith.  In his foreword to one of the best evangelical books on faith and ecology, he writes that the mandate of Genesis 1 was not only to “subdue” the earth but also to “replenish” it.  He then expresses the hope that</w:t>
      </w:r>
    </w:p>
    <w:p w:rsidR="00EC13CB" w:rsidRDefault="00EC13CB" w:rsidP="00EC13CB">
      <w:pPr>
        <w:pStyle w:val="BlockText"/>
      </w:pPr>
      <w:r>
        <w:t>the great religions of the world—especially Islam, Judaism and Christianity, which believe in the God of creation—may rise to their responsibilities and empower this movement with the commitment and support of the global communities they represent.  I remain convinced that religious conviction, and the disciplined behavior that flows from it, have the unique potential to produce the resolve and motivation required to “replenish the earth.”</w:t>
      </w:r>
      <w:r>
        <w:rPr>
          <w:rStyle w:val="FootnoteReference"/>
        </w:rPr>
        <w:footnoteReference w:id="67"/>
      </w:r>
    </w:p>
    <w:p w:rsidR="00EC13CB" w:rsidRDefault="00EC13CB" w:rsidP="00EC13CB">
      <w:pPr>
        <w:pStyle w:val="BodyText"/>
      </w:pPr>
      <w:r>
        <w:t>It is this overall purpose of “eco-justice”—caring for the poorest and weakest in the family of humanity as we care for the earth itself—that must fill in the contents of “the human caliphate” and emphasize harmony rather than mastery in our mandate to manage the earth.</w:t>
      </w:r>
    </w:p>
    <w:p w:rsidR="00EC13CB" w:rsidRPr="00EC13CB" w:rsidRDefault="00EC13CB"/>
    <w:sectPr w:rsidR="00EC13CB" w:rsidRPr="00EC13CB" w:rsidSect="00EC13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3CB" w:rsidRDefault="00EC13CB" w:rsidP="00EC13CB">
      <w:r>
        <w:separator/>
      </w:r>
    </w:p>
  </w:endnote>
  <w:endnote w:type="continuationSeparator" w:id="0">
    <w:p w:rsidR="00EC13CB" w:rsidRDefault="00EC13CB" w:rsidP="00EC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3CB" w:rsidRDefault="00EC13CB" w:rsidP="00EC13CB">
      <w:r>
        <w:separator/>
      </w:r>
    </w:p>
  </w:footnote>
  <w:footnote w:type="continuationSeparator" w:id="0">
    <w:p w:rsidR="00EC13CB" w:rsidRDefault="00EC13CB" w:rsidP="00EC13CB">
      <w:r>
        <w:continuationSeparator/>
      </w:r>
    </w:p>
  </w:footnote>
  <w:footnote w:id="1">
    <w:p w:rsidR="00EC13CB" w:rsidRDefault="00EC13CB" w:rsidP="00EC13CB">
      <w:pPr>
        <w:pStyle w:val="FootnoteText"/>
      </w:pPr>
      <w:r>
        <w:rPr>
          <w:rStyle w:val="FootnoteReference"/>
        </w:rPr>
        <w:footnoteRef/>
      </w:r>
      <w:r>
        <w:t xml:space="preserve"> </w:t>
      </w:r>
      <w:r>
        <w:rPr>
          <w:i/>
        </w:rPr>
        <w:t>Prometheus Revisited,</w:t>
      </w:r>
      <w:r>
        <w:t xml:space="preserve"> p. xvi.  In saying this, he was applauding Ulrich Beck’s article, “Globalization’s Chernobyl,” </w:t>
      </w:r>
      <w:r>
        <w:rPr>
          <w:i/>
        </w:rPr>
        <w:t>Financial Times</w:t>
      </w:r>
      <w:r>
        <w:t xml:space="preserve">, November 6, 2001, that was arguing just that: 9/11 was the equivalent of Chernobyl, the tragedy that exposed “the false promise of neoliberalism.”  Beck is also the author of </w:t>
      </w:r>
      <w:r>
        <w:rPr>
          <w:i/>
        </w:rPr>
        <w:t>Risk Society: Toward a New Modernity</w:t>
      </w:r>
      <w:r>
        <w:t xml:space="preserve"> (London: Sage, 1992).</w:t>
      </w:r>
    </w:p>
  </w:footnote>
  <w:footnote w:id="2">
    <w:p w:rsidR="00EC13CB" w:rsidRDefault="00EC13CB" w:rsidP="00EC13CB">
      <w:pPr>
        <w:pStyle w:val="FootnoteText"/>
      </w:pPr>
      <w:r>
        <w:rPr>
          <w:rStyle w:val="FootnoteReference"/>
        </w:rPr>
        <w:footnoteRef/>
      </w:r>
      <w:r>
        <w:t xml:space="preserve"> Radical doubt was the foundation of rationalism and the pathway to certainty: </w:t>
      </w:r>
      <w:r>
        <w:rPr>
          <w:i/>
        </w:rPr>
        <w:t>dubito, ergo sum</w:t>
      </w:r>
      <w:r>
        <w:t xml:space="preserve"> (“I think, therefore I am”).</w:t>
      </w:r>
    </w:p>
  </w:footnote>
  <w:footnote w:id="3">
    <w:p w:rsidR="00EC13CB" w:rsidRDefault="00EC13CB" w:rsidP="00EC13CB">
      <w:pPr>
        <w:pStyle w:val="FootnoteText"/>
      </w:pPr>
      <w:r>
        <w:rPr>
          <w:rStyle w:val="FootnoteReference"/>
        </w:rPr>
        <w:footnoteRef/>
      </w:r>
      <w:r>
        <w:t xml:space="preserve"> </w:t>
      </w:r>
      <w:r>
        <w:rPr>
          <w:i/>
        </w:rPr>
        <w:t>The Consequences of Modernity</w:t>
      </w:r>
      <w:r>
        <w:t xml:space="preserve"> (Stanford, CA: Stanford University Press, 1990), p. 139.</w:t>
      </w:r>
    </w:p>
  </w:footnote>
  <w:footnote w:id="4">
    <w:p w:rsidR="00EC13CB" w:rsidRDefault="00EC13CB" w:rsidP="00EC13CB">
      <w:pPr>
        <w:pStyle w:val="FootnoteText"/>
      </w:pPr>
      <w:r>
        <w:rPr>
          <w:rStyle w:val="FootnoteReference"/>
        </w:rPr>
        <w:footnoteRef/>
      </w:r>
      <w:r>
        <w:t xml:space="preserve"> </w:t>
      </w:r>
      <w:r>
        <w:rPr>
          <w:i/>
        </w:rPr>
        <w:t>Unveiling Traditions: Postcolonial Islam in a Polycentric World</w:t>
      </w:r>
      <w:r>
        <w:t xml:space="preserve"> (Durham and London: Duke University Press, 2000), p. 15.</w:t>
      </w:r>
    </w:p>
  </w:footnote>
  <w:footnote w:id="5">
    <w:p w:rsidR="00EC13CB" w:rsidRDefault="00EC13CB" w:rsidP="00EC13CB">
      <w:pPr>
        <w:pStyle w:val="FootnoteText"/>
      </w:pPr>
      <w:r>
        <w:rPr>
          <w:rStyle w:val="FootnoteReference"/>
        </w:rPr>
        <w:footnoteRef/>
      </w:r>
      <w:r>
        <w:t xml:space="preserve"> </w:t>
      </w:r>
      <w:r>
        <w:rPr>
          <w:i/>
        </w:rPr>
        <w:t>Prometheus Revisited</w:t>
      </w:r>
      <w:r>
        <w:t>, see especially his Preface: “The Double Wall before the Future” (pp. xv-xxiii).</w:t>
      </w:r>
    </w:p>
  </w:footnote>
  <w:footnote w:id="6">
    <w:p w:rsidR="00EC13CB" w:rsidRDefault="00EC13CB" w:rsidP="00EC13CB">
      <w:pPr>
        <w:pStyle w:val="FootnoteText"/>
      </w:pPr>
      <w:r>
        <w:rPr>
          <w:rStyle w:val="FootnoteReference"/>
        </w:rPr>
        <w:footnoteRef/>
      </w:r>
      <w:r>
        <w:t xml:space="preserve"> “Unevenly Yoked: Has Globalization Dealt Africa a Bad Hand?” in </w:t>
      </w:r>
      <w:r>
        <w:rPr>
          <w:i/>
        </w:rPr>
        <w:t>YaleGlobal</w:t>
      </w:r>
      <w:r>
        <w:t xml:space="preserve"> 3, November 2003, online, </w:t>
      </w:r>
      <w:hyperlink r:id="rId1" w:history="1">
        <w:r>
          <w:rPr>
            <w:rStyle w:val="Hyperlink"/>
          </w:rPr>
          <w:t>http://yaleglobal.yale.edu/display.article?id=2721</w:t>
        </w:r>
      </w:hyperlink>
      <w:r>
        <w:rPr>
          <w:color w:val="000000"/>
        </w:rPr>
        <w:t>.  Moa, still in his thirties, plans to run for president of his country in 2006.  Though strongly critical of the neoliberal status quo, his article is constructive: “If Africa is to help itself, developed countries must give it the tools to do so; they must open their markets to African goods, offer debt relief, and, above all, provide focused developmental assistance based on agreed social goals.”</w:t>
      </w:r>
    </w:p>
  </w:footnote>
  <w:footnote w:id="7">
    <w:p w:rsidR="00EC13CB" w:rsidRDefault="00EC13CB" w:rsidP="00EC13CB">
      <w:pPr>
        <w:pStyle w:val="FootnoteText"/>
      </w:pPr>
      <w:r>
        <w:rPr>
          <w:rStyle w:val="FootnoteReference"/>
        </w:rPr>
        <w:footnoteRef/>
      </w:r>
      <w:r>
        <w:t xml:space="preserve"> </w:t>
      </w:r>
      <w:r>
        <w:rPr>
          <w:i/>
        </w:rPr>
        <w:t>The Condition of Postmodernity: An Inquiry into the Origins of Social Change</w:t>
      </w:r>
      <w:r>
        <w:t xml:space="preserve"> (Oxford, UK and Cambridge, MA: Blackwell, 1989).  I could also have chosen Fredric Jameson whom Harvey quotes and draws from repeatedly.  See his </w:t>
      </w:r>
      <w:r>
        <w:rPr>
          <w:i/>
        </w:rPr>
        <w:t>Postmodernism, or the Logic of Late Capitalism</w:t>
      </w:r>
      <w:r>
        <w:t xml:space="preserve"> (Durham, NC: Duke University Press, 1991).  But I have found Harvey’s economic and political analysis more detailed, especially from an historical perspective.</w:t>
      </w:r>
    </w:p>
  </w:footnote>
  <w:footnote w:id="8">
    <w:p w:rsidR="00EC13CB" w:rsidRDefault="00EC13CB" w:rsidP="00EC13CB">
      <w:pPr>
        <w:pStyle w:val="FootnoteText"/>
      </w:pPr>
      <w:r>
        <w:rPr>
          <w:rStyle w:val="FootnoteReference"/>
        </w:rPr>
        <w:footnoteRef/>
      </w:r>
      <w:r>
        <w:t xml:space="preserve"> He went back to England from 1987 to 1993 where he held the Halford Mackinder Chair of Geography at Oxford University.  For a useful summary of his intellectual odyssey, see his interview at the University of California at Berkeley’s Institute for International Studies in 2004: </w:t>
      </w:r>
      <w:r>
        <w:rPr>
          <w:color w:val="000000"/>
          <w:sz w:val="22"/>
        </w:rPr>
        <w:t>http://globetrotter.berkeley.edu/people4/Harvey/harvey-con1.html</w:t>
      </w:r>
    </w:p>
  </w:footnote>
  <w:footnote w:id="9">
    <w:p w:rsidR="00EC13CB" w:rsidRDefault="00EC13CB" w:rsidP="00EC13CB">
      <w:pPr>
        <w:pStyle w:val="FootnoteText"/>
      </w:pPr>
      <w:r>
        <w:rPr>
          <w:rStyle w:val="FootnoteReference"/>
        </w:rPr>
        <w:footnoteRef/>
      </w:r>
      <w:r>
        <w:t xml:space="preserve"> I deal with the concept of “compression of time” in the next chapter.</w:t>
      </w:r>
    </w:p>
  </w:footnote>
  <w:footnote w:id="10">
    <w:p w:rsidR="00EC13CB" w:rsidRDefault="00EC13CB" w:rsidP="00EC13CB">
      <w:pPr>
        <w:pStyle w:val="FootnoteText"/>
      </w:pPr>
      <w:r>
        <w:rPr>
          <w:rStyle w:val="FootnoteReference"/>
        </w:rPr>
        <w:footnoteRef/>
      </w:r>
      <w:r>
        <w:t xml:space="preserve"> </w:t>
      </w:r>
      <w:r>
        <w:rPr>
          <w:i/>
        </w:rPr>
        <w:t>The Condition of Postmodernity,</w:t>
      </w:r>
      <w:r>
        <w:t xml:space="preserve"> pp. 260-1</w:t>
      </w:r>
    </w:p>
  </w:footnote>
  <w:footnote w:id="11">
    <w:p w:rsidR="00EC13CB" w:rsidRDefault="00EC13CB" w:rsidP="00EC13CB">
      <w:pPr>
        <w:pStyle w:val="FootnoteText"/>
      </w:pPr>
      <w:r>
        <w:rPr>
          <w:rStyle w:val="FootnoteReference"/>
        </w:rPr>
        <w:footnoteRef/>
      </w:r>
      <w:r>
        <w:t xml:space="preserve"> </w:t>
      </w:r>
      <w:r>
        <w:rPr>
          <w:i/>
        </w:rPr>
        <w:t>Ibid</w:t>
      </w:r>
      <w:r>
        <w:t>., p. 267.</w:t>
      </w:r>
    </w:p>
  </w:footnote>
  <w:footnote w:id="12">
    <w:p w:rsidR="00EC13CB" w:rsidRDefault="00EC13CB" w:rsidP="00EC13CB">
      <w:pPr>
        <w:pStyle w:val="FootnoteText"/>
      </w:pPr>
      <w:r>
        <w:rPr>
          <w:rStyle w:val="FootnoteReference"/>
        </w:rPr>
        <w:footnoteRef/>
      </w:r>
      <w:r>
        <w:t xml:space="preserve"> </w:t>
      </w:r>
      <w:r>
        <w:rPr>
          <w:i/>
        </w:rPr>
        <w:t>Ibid.,</w:t>
      </w:r>
      <w:r>
        <w:t xml:space="preserve"> p. 125.</w:t>
      </w:r>
    </w:p>
  </w:footnote>
  <w:footnote w:id="13">
    <w:p w:rsidR="00EC13CB" w:rsidRDefault="00EC13CB" w:rsidP="00EC13CB">
      <w:pPr>
        <w:pStyle w:val="FootnoteText"/>
      </w:pPr>
      <w:r>
        <w:rPr>
          <w:rStyle w:val="FootnoteReference"/>
        </w:rPr>
        <w:footnoteRef/>
      </w:r>
      <w:r>
        <w:t xml:space="preserve"> </w:t>
      </w:r>
      <w:r>
        <w:rPr>
          <w:i/>
        </w:rPr>
        <w:t>Ibid.,</w:t>
      </w:r>
      <w:r>
        <w:t xml:space="preserve"> p. 125-6.  This was also the observation made by the leader of the Italian communist leader, Antonio Gramsci, while in prison under Mussolini.  This American method of production should be seen as “the biggest collective effort to date to create, with unprecedented speed, and with a consciousness of purpose unmatched in history, a new type of worker and a new type of man” (from his </w:t>
      </w:r>
      <w:r>
        <w:rPr>
          <w:i/>
        </w:rPr>
        <w:t>Prison Notebooks</w:t>
      </w:r>
      <w:r>
        <w:t xml:space="preserve">, quoted by Harvey, </w:t>
      </w:r>
      <w:r>
        <w:rPr>
          <w:i/>
        </w:rPr>
        <w:t>ibid.,</w:t>
      </w:r>
      <w:r>
        <w:t xml:space="preserve"> p. 126).</w:t>
      </w:r>
    </w:p>
  </w:footnote>
  <w:footnote w:id="14">
    <w:p w:rsidR="00EC13CB" w:rsidRDefault="00EC13CB" w:rsidP="00EC13CB">
      <w:pPr>
        <w:pStyle w:val="FootnoteText"/>
      </w:pPr>
      <w:r>
        <w:rPr>
          <w:rStyle w:val="FootnoteReference"/>
        </w:rPr>
        <w:footnoteRef/>
      </w:r>
      <w:r>
        <w:t xml:space="preserve"> </w:t>
      </w:r>
      <w:r>
        <w:rPr>
          <w:i/>
        </w:rPr>
        <w:t>Ibid.,</w:t>
      </w:r>
      <w:r>
        <w:t xml:space="preserve"> p. 132.</w:t>
      </w:r>
    </w:p>
  </w:footnote>
  <w:footnote w:id="15">
    <w:p w:rsidR="00EC13CB" w:rsidRDefault="00EC13CB" w:rsidP="00EC13CB">
      <w:pPr>
        <w:pStyle w:val="FootnoteText"/>
      </w:pPr>
      <w:r>
        <w:rPr>
          <w:rStyle w:val="FootnoteReference"/>
        </w:rPr>
        <w:footnoteRef/>
      </w:r>
      <w:r>
        <w:t xml:space="preserve"> </w:t>
      </w:r>
      <w:r>
        <w:rPr>
          <w:i/>
        </w:rPr>
        <w:t>Ibid.,</w:t>
      </w:r>
      <w:r>
        <w:t xml:space="preserve"> p. 137.</w:t>
      </w:r>
    </w:p>
  </w:footnote>
  <w:footnote w:id="16">
    <w:p w:rsidR="00EC13CB" w:rsidRDefault="00EC13CB" w:rsidP="00EC13CB">
      <w:pPr>
        <w:pStyle w:val="FootnoteText"/>
      </w:pPr>
      <w:r>
        <w:rPr>
          <w:rStyle w:val="FootnoteReference"/>
        </w:rPr>
        <w:footnoteRef/>
      </w:r>
      <w:r>
        <w:t xml:space="preserve"> </w:t>
      </w:r>
      <w:r>
        <w:rPr>
          <w:i/>
        </w:rPr>
        <w:t>Prometheus Revisited</w:t>
      </w:r>
      <w:r>
        <w:t>, p. 79.</w:t>
      </w:r>
    </w:p>
  </w:footnote>
  <w:footnote w:id="17">
    <w:p w:rsidR="00EC13CB" w:rsidRDefault="00EC13CB" w:rsidP="00EC13CB">
      <w:pPr>
        <w:pStyle w:val="FootnoteText"/>
      </w:pPr>
      <w:r>
        <w:rPr>
          <w:rStyle w:val="FootnoteReference"/>
        </w:rPr>
        <w:footnoteRef/>
      </w:r>
      <w:r>
        <w:t xml:space="preserve"> </w:t>
      </w:r>
      <w:r>
        <w:rPr>
          <w:i/>
        </w:rPr>
        <w:t>The Condition of Postmodernity</w:t>
      </w:r>
      <w:r>
        <w:t>, p. 145.  George Soros sees the break in 1980, “because globalization was a market fundamentalist undertaking.”  Reagan and Thatcher, he notes, succeeded in reducing the state’s ability to interfere with the markets, in coaxing other states to follow suit, and, as they permanently fixed London and New York as the world’s banking capitals, they were able to assure their own competitive advantage in the game (</w:t>
      </w:r>
      <w:r>
        <w:rPr>
          <w:i/>
        </w:rPr>
        <w:t>The Bubble of American Supremacy,</w:t>
      </w:r>
      <w:r>
        <w:t xml:space="preserve"> p. 90).</w:t>
      </w:r>
    </w:p>
  </w:footnote>
  <w:footnote w:id="18">
    <w:p w:rsidR="00EC13CB" w:rsidRDefault="00EC13CB" w:rsidP="00EC13CB">
      <w:pPr>
        <w:pStyle w:val="FootnoteText"/>
      </w:pPr>
      <w:r>
        <w:rPr>
          <w:rStyle w:val="FootnoteReference"/>
        </w:rPr>
        <w:footnoteRef/>
      </w:r>
      <w:r>
        <w:t xml:space="preserve"> </w:t>
      </w:r>
      <w:r>
        <w:rPr>
          <w:i/>
        </w:rPr>
        <w:t>The Condition of Postmodernity</w:t>
      </w:r>
      <w:r>
        <w:t>, p. 147</w:t>
      </w:r>
      <w:r>
        <w:rPr>
          <w:i/>
        </w:rPr>
        <w:t>.</w:t>
      </w:r>
    </w:p>
  </w:footnote>
  <w:footnote w:id="19">
    <w:p w:rsidR="00EC13CB" w:rsidRDefault="00EC13CB" w:rsidP="00EC13CB">
      <w:pPr>
        <w:pStyle w:val="FootnoteText"/>
      </w:pPr>
      <w:r>
        <w:rPr>
          <w:rStyle w:val="FootnoteReference"/>
        </w:rPr>
        <w:footnoteRef/>
      </w:r>
      <w:r>
        <w:t xml:space="preserve"> </w:t>
      </w:r>
      <w:r>
        <w:rPr>
          <w:i/>
        </w:rPr>
        <w:t xml:space="preserve">The New Imperialism </w:t>
      </w:r>
      <w:r>
        <w:t>(Oxford and New York: Oxford University Press, 2003), p. 62.</w:t>
      </w:r>
    </w:p>
  </w:footnote>
  <w:footnote w:id="20">
    <w:p w:rsidR="00EC13CB" w:rsidRDefault="00EC13CB" w:rsidP="00EC13CB">
      <w:pPr>
        <w:pStyle w:val="FootnoteText"/>
        <w:rPr>
          <w:i/>
        </w:rPr>
      </w:pPr>
      <w:r>
        <w:rPr>
          <w:rStyle w:val="FootnoteReference"/>
        </w:rPr>
        <w:footnoteRef/>
      </w:r>
      <w:r>
        <w:t xml:space="preserve"> </w:t>
      </w:r>
      <w:r>
        <w:rPr>
          <w:i/>
        </w:rPr>
        <w:t>Ibid.</w:t>
      </w:r>
    </w:p>
  </w:footnote>
  <w:footnote w:id="21">
    <w:p w:rsidR="00EC13CB" w:rsidRDefault="00EC13CB" w:rsidP="00EC13CB">
      <w:pPr>
        <w:pStyle w:val="FootnoteText"/>
      </w:pPr>
      <w:r>
        <w:rPr>
          <w:rStyle w:val="FootnoteReference"/>
        </w:rPr>
        <w:footnoteRef/>
      </w:r>
      <w:r>
        <w:t xml:space="preserve"> </w:t>
      </w:r>
      <w:r>
        <w:rPr>
          <w:i/>
        </w:rPr>
        <w:t>The Soul of Capitalism,</w:t>
      </w:r>
      <w:r>
        <w:t xml:space="preserve"> p. 94-5.</w:t>
      </w:r>
    </w:p>
  </w:footnote>
  <w:footnote w:id="22">
    <w:p w:rsidR="00EC13CB" w:rsidRDefault="00EC13CB" w:rsidP="00EC13CB">
      <w:pPr>
        <w:pStyle w:val="FootnoteText"/>
      </w:pPr>
      <w:r>
        <w:rPr>
          <w:rStyle w:val="FootnoteReference"/>
        </w:rPr>
        <w:footnoteRef/>
      </w:r>
      <w:r>
        <w:t xml:space="preserve"> See also the penetrating analysis along these lines in the work of British sociologist, Leslie Sklair: </w:t>
      </w:r>
      <w:r>
        <w:rPr>
          <w:i/>
        </w:rPr>
        <w:t>Sociology of the Global System</w:t>
      </w:r>
      <w:r>
        <w:t>, 2</w:t>
      </w:r>
      <w:r>
        <w:rPr>
          <w:vertAlign w:val="superscript"/>
        </w:rPr>
        <w:t>nd</w:t>
      </w:r>
      <w:r>
        <w:t xml:space="preserve"> ed. (Baltimore, MD: Johns Hopkins University Press, 1995); and </w:t>
      </w:r>
      <w:r>
        <w:rPr>
          <w:i/>
        </w:rPr>
        <w:t>Transnational Capitalist Class</w:t>
      </w:r>
      <w:r>
        <w:t xml:space="preserve"> (Oxford and Malden, MA: Blackwell, 2001).</w:t>
      </w:r>
    </w:p>
  </w:footnote>
  <w:footnote w:id="23">
    <w:p w:rsidR="00EC13CB" w:rsidRDefault="00EC13CB" w:rsidP="00EC13CB">
      <w:pPr>
        <w:pStyle w:val="FootnoteText"/>
      </w:pPr>
      <w:r>
        <w:rPr>
          <w:rStyle w:val="FootnoteReference"/>
        </w:rPr>
        <w:footnoteRef/>
      </w:r>
      <w:r>
        <w:t xml:space="preserve"> </w:t>
      </w:r>
      <w:r>
        <w:rPr>
          <w:i/>
        </w:rPr>
        <w:t>Jihad vs McWorld</w:t>
      </w:r>
      <w:r>
        <w:t>, p. 129.  The veteran neo-Marxist and “third-worldist” Samir Amin defines cultural life as “the mode of organization of use values.”  The way in which western-dominated capitalism deploys its forces of production is through a “generalized exchange value”—currently determined by US banks and securities.  This has the effect of standardization.  What is needed, he argues, is for whole ethnic and cultural blocks to “delink” from the system, much as precapitalist societies held use value independently of exchange value and thus were free to follow a diversity of paths toward development (</w:t>
      </w:r>
      <w:r>
        <w:rPr>
          <w:i/>
        </w:rPr>
        <w:t>Eurocentrism</w:t>
      </w:r>
      <w:r>
        <w:t>, trans. Russell Moore, New York: Monthly Review Press, 1989, pp. 137-38).  Amin, an Egyptian with an academic career in France, is the author of over thirty books and now heads up the Third World Forum based in Dakar, Senegal.</w:t>
      </w:r>
    </w:p>
  </w:footnote>
  <w:footnote w:id="24">
    <w:p w:rsidR="00EC13CB" w:rsidRDefault="00EC13CB" w:rsidP="00EC13CB">
      <w:pPr>
        <w:pStyle w:val="FootnoteText"/>
      </w:pPr>
      <w:r>
        <w:rPr>
          <w:rStyle w:val="FootnoteReference"/>
        </w:rPr>
        <w:footnoteRef/>
      </w:r>
      <w:r>
        <w:t xml:space="preserve"> </w:t>
      </w:r>
      <w:r>
        <w:rPr>
          <w:i/>
        </w:rPr>
        <w:t>Ibid.,</w:t>
      </w:r>
      <w:r>
        <w:t xml:space="preserve"> p. 130.  </w:t>
      </w:r>
    </w:p>
  </w:footnote>
  <w:footnote w:id="25">
    <w:p w:rsidR="00EC13CB" w:rsidRDefault="00EC13CB" w:rsidP="00EC13CB">
      <w:pPr>
        <w:pStyle w:val="FootnoteText"/>
      </w:pPr>
      <w:r>
        <w:rPr>
          <w:rStyle w:val="FootnoteReference"/>
        </w:rPr>
        <w:footnoteRef/>
      </w:r>
      <w:r>
        <w:t xml:space="preserve"> </w:t>
      </w:r>
      <w:r>
        <w:rPr>
          <w:i/>
        </w:rPr>
        <w:t>Ibid.,</w:t>
      </w:r>
      <w:r>
        <w:t xml:space="preserve"> p. xvii.  Soros adds a needed warning in this regard: “It is dangerous, however, to place excessive reliance on the market mechanism.  Markets are designed to facilitate the free exchange of goods and services among willing participants, but are not capable, on their own, of taking care of collective needs.  Nor are they competent to ensure social justice.  These ‘public goods’ can only be provided by a political process.” (</w:t>
      </w:r>
      <w:r>
        <w:rPr>
          <w:i/>
        </w:rPr>
        <w:t>The Bubble of American Supremacy</w:t>
      </w:r>
      <w:r>
        <w:t>, p. 91).</w:t>
      </w:r>
    </w:p>
  </w:footnote>
  <w:footnote w:id="26">
    <w:p w:rsidR="00EC13CB" w:rsidRDefault="00EC13CB" w:rsidP="00EC13CB">
      <w:pPr>
        <w:pStyle w:val="FootnoteText"/>
      </w:pPr>
      <w:r>
        <w:rPr>
          <w:rStyle w:val="FootnoteReference"/>
        </w:rPr>
        <w:footnoteRef/>
      </w:r>
      <w:r>
        <w:t xml:space="preserve"> Kenneth Martin highlighted almost twenty years ago the dangers of research on university campuses being tied to the financial interests of large corporations.  He quotes Martin Kenny, “the fear of being scooped or of seeing one’s work transformed into a commodity can silence those who presumably are colleagues.  To see a thing that one produced turned into a product for sale by someone over whom one has no control can leave a person feeling violated” (</w:t>
      </w:r>
      <w:r>
        <w:rPr>
          <w:i/>
        </w:rPr>
        <w:t>Biotechnology: The University-Industrial Complex</w:t>
      </w:r>
      <w:r>
        <w:t xml:space="preserve">. New Haven, CT: Yale University Press, 1986, p. 110).  Quoted in Vandana Shiva, </w:t>
      </w:r>
      <w:r>
        <w:rPr>
          <w:i/>
        </w:rPr>
        <w:t>Biopiracy: The Plunder of Nature and Knowledge</w:t>
      </w:r>
      <w:r>
        <w:t xml:space="preserve"> (Boston, MA: South End, 1997), p. 15.</w:t>
      </w:r>
    </w:p>
  </w:footnote>
  <w:footnote w:id="27">
    <w:p w:rsidR="00EC13CB" w:rsidRDefault="00EC13CB" w:rsidP="00EC13CB">
      <w:pPr>
        <w:pStyle w:val="FootnoteText"/>
      </w:pPr>
      <w:r>
        <w:rPr>
          <w:rStyle w:val="FootnoteReference"/>
        </w:rPr>
        <w:footnoteRef/>
      </w:r>
      <w:r>
        <w:t xml:space="preserve"> </w:t>
      </w:r>
      <w:r>
        <w:rPr>
          <w:i/>
        </w:rPr>
        <w:t>Ibid</w:t>
      </w:r>
      <w:r>
        <w:t>., p. 72.</w:t>
      </w:r>
    </w:p>
  </w:footnote>
  <w:footnote w:id="28">
    <w:p w:rsidR="00EC13CB" w:rsidRDefault="00EC13CB" w:rsidP="00EC13CB">
      <w:pPr>
        <w:pStyle w:val="FootnoteText"/>
      </w:pPr>
      <w:r>
        <w:rPr>
          <w:rStyle w:val="FootnoteReference"/>
        </w:rPr>
        <w:footnoteRef/>
      </w:r>
      <w:r>
        <w:t xml:space="preserve"> </w:t>
      </w:r>
      <w:r>
        <w:rPr>
          <w:i/>
        </w:rPr>
        <w:t>Ibid</w:t>
      </w:r>
      <w:r>
        <w:t>.</w:t>
      </w:r>
    </w:p>
  </w:footnote>
  <w:footnote w:id="29">
    <w:p w:rsidR="00EC13CB" w:rsidRDefault="00EC13CB" w:rsidP="00EC13CB">
      <w:pPr>
        <w:pStyle w:val="FootnoteText"/>
      </w:pPr>
      <w:r>
        <w:rPr>
          <w:rStyle w:val="FootnoteReference"/>
        </w:rPr>
        <w:footnoteRef/>
      </w:r>
      <w:r>
        <w:t xml:space="preserve"> David Cooper, “Genes for Sustainable Development: Overcoming the Obstacles to a Global Agreement on Conservation and Sustainable Use of Biodiversity,” in </w:t>
      </w:r>
      <w:r>
        <w:rPr>
          <w:i/>
        </w:rPr>
        <w:t>Biodiversity: Social &amp; Ecological Perspectives</w:t>
      </w:r>
      <w:r>
        <w:t>, eds. Vandana Shiva et al. (London and New Jersey: Zed; Penang, Malaysia: World Rainforest Movement, 1991), p. 110-1.</w:t>
      </w:r>
    </w:p>
  </w:footnote>
  <w:footnote w:id="30">
    <w:p w:rsidR="00EC13CB" w:rsidRDefault="00EC13CB" w:rsidP="00EC13CB">
      <w:pPr>
        <w:pStyle w:val="FootnoteText"/>
      </w:pPr>
      <w:r>
        <w:rPr>
          <w:rStyle w:val="FootnoteReference"/>
        </w:rPr>
        <w:footnoteRef/>
      </w:r>
      <w:r>
        <w:t xml:space="preserve"> Shiva, </w:t>
      </w:r>
      <w:r>
        <w:rPr>
          <w:i/>
        </w:rPr>
        <w:t>Biopiracy</w:t>
      </w:r>
      <w:r>
        <w:t>, p. 69.</w:t>
      </w:r>
    </w:p>
  </w:footnote>
  <w:footnote w:id="31">
    <w:p w:rsidR="00EC13CB" w:rsidRDefault="00EC13CB" w:rsidP="00EC13CB">
      <w:pPr>
        <w:pStyle w:val="FootnoteText"/>
      </w:pPr>
      <w:r>
        <w:rPr>
          <w:rStyle w:val="FootnoteReference"/>
        </w:rPr>
        <w:footnoteRef/>
      </w:r>
      <w:r>
        <w:t xml:space="preserve"> </w:t>
      </w:r>
      <w:r>
        <w:rPr>
          <w:i/>
        </w:rPr>
        <w:t xml:space="preserve">Ibid., </w:t>
      </w:r>
      <w:r>
        <w:t>p. 72.</w:t>
      </w:r>
    </w:p>
  </w:footnote>
  <w:footnote w:id="32">
    <w:p w:rsidR="00EC13CB" w:rsidRDefault="00EC13CB" w:rsidP="00EC13CB">
      <w:pPr>
        <w:pStyle w:val="FootnoteText"/>
      </w:pPr>
      <w:r>
        <w:rPr>
          <w:rStyle w:val="FootnoteReference"/>
        </w:rPr>
        <w:footnoteRef/>
      </w:r>
      <w:r>
        <w:t xml:space="preserve"> </w:t>
      </w:r>
      <w:r>
        <w:rPr>
          <w:i/>
        </w:rPr>
        <w:t>Red Sky at Morning: America and the Crisis of the Global Environment</w:t>
      </w:r>
      <w:r>
        <w:t xml:space="preserve"> (New Haven, CT and London: Yale University Press, 2004), p. 1.</w:t>
      </w:r>
    </w:p>
  </w:footnote>
  <w:footnote w:id="33">
    <w:p w:rsidR="00EC13CB" w:rsidRDefault="00EC13CB" w:rsidP="00EC13CB">
      <w:pPr>
        <w:pStyle w:val="FootnoteText"/>
      </w:pPr>
      <w:r>
        <w:rPr>
          <w:rStyle w:val="FootnoteReference"/>
        </w:rPr>
        <w:footnoteRef/>
      </w:r>
      <w:r>
        <w:t xml:space="preserve"> Mitzman, </w:t>
      </w:r>
      <w:r>
        <w:rPr>
          <w:i/>
        </w:rPr>
        <w:t>Prometheus Revisited,</w:t>
      </w:r>
      <w:r>
        <w:t xml:space="preserve"> p. xix.</w:t>
      </w:r>
    </w:p>
  </w:footnote>
  <w:footnote w:id="34">
    <w:p w:rsidR="00EC13CB" w:rsidRDefault="00EC13CB" w:rsidP="00EC13CB">
      <w:pPr>
        <w:pStyle w:val="FootnoteText"/>
      </w:pPr>
      <w:r>
        <w:rPr>
          <w:rStyle w:val="FootnoteReference"/>
        </w:rPr>
        <w:footnoteRef/>
      </w:r>
      <w:r>
        <w:t xml:space="preserve"> </w:t>
      </w:r>
      <w:r>
        <w:rPr>
          <w:i/>
        </w:rPr>
        <w:t>Ibid.</w:t>
      </w:r>
      <w:r>
        <w:t xml:space="preserve">  This again shows the interrelatedness of the “two walls,” and why the term “ecojustice”—cf. below—is so appropriate.</w:t>
      </w:r>
    </w:p>
  </w:footnote>
  <w:footnote w:id="35">
    <w:p w:rsidR="00EC13CB" w:rsidRDefault="00EC13CB" w:rsidP="00EC13CB">
      <w:pPr>
        <w:pStyle w:val="FootnoteText"/>
      </w:pPr>
      <w:r>
        <w:rPr>
          <w:rStyle w:val="FootnoteReference"/>
        </w:rPr>
        <w:footnoteRef/>
      </w:r>
      <w:r>
        <w:t xml:space="preserve"> September 2004 issue, pp. 2-75.</w:t>
      </w:r>
    </w:p>
  </w:footnote>
  <w:footnote w:id="36">
    <w:p w:rsidR="00EC13CB" w:rsidRDefault="00EC13CB" w:rsidP="00EC13CB">
      <w:pPr>
        <w:pStyle w:val="FootnoteText"/>
      </w:pPr>
      <w:r>
        <w:rPr>
          <w:rStyle w:val="FootnoteReference"/>
        </w:rPr>
        <w:footnoteRef/>
      </w:r>
      <w:r>
        <w:t xml:space="preserve"> These data are all taken from the National Geographic article.</w:t>
      </w:r>
    </w:p>
  </w:footnote>
  <w:footnote w:id="37">
    <w:p w:rsidR="00EC13CB" w:rsidRDefault="00EC13CB" w:rsidP="00EC13CB">
      <w:pPr>
        <w:pStyle w:val="FootnoteText"/>
      </w:pPr>
      <w:r>
        <w:rPr>
          <w:rStyle w:val="FootnoteReference"/>
        </w:rPr>
        <w:footnoteRef/>
      </w:r>
      <w:r>
        <w:t xml:space="preserve"> See also recent reports on melting glaciers in Greenland: Steve Connor, “Melting Greenland Glacier May Hasten Rise in Sea Level,” </w:t>
      </w:r>
      <w:r>
        <w:rPr>
          <w:i/>
        </w:rPr>
        <w:t>The Independent Online</w:t>
      </w:r>
      <w:r>
        <w:t xml:space="preserve">, July 25, 2005, </w:t>
      </w:r>
      <w:hyperlink r:id="rId2" w:history="1">
        <w:r>
          <w:rPr>
            <w:rStyle w:val="Hyperlink"/>
          </w:rPr>
          <w:t>http://news.independent.co.uk/world/enviro</w:t>
        </w:r>
        <w:r>
          <w:rPr>
            <w:rStyle w:val="Hyperlink"/>
          </w:rPr>
          <w:t>n</w:t>
        </w:r>
        <w:r>
          <w:rPr>
            <w:rStyle w:val="Hyperlink"/>
          </w:rPr>
          <w:t>ment/article301493.ece</w:t>
        </w:r>
      </w:hyperlink>
      <w:r>
        <w:rPr>
          <w:color w:val="000000"/>
        </w:rPr>
        <w:t>; and Richard Hollingham, “Icy Greenland Turns Green,” BBC News Online, Aug. 14, 2005, http://news.bbc.co.uk/1/hi/programmes/from_our_own_correspondent/4145034.stm.</w:t>
      </w:r>
    </w:p>
  </w:footnote>
  <w:footnote w:id="38">
    <w:p w:rsidR="00EC13CB" w:rsidRDefault="00EC13CB" w:rsidP="00EC13CB">
      <w:pPr>
        <w:pStyle w:val="FootnoteText"/>
      </w:pPr>
      <w:r>
        <w:rPr>
          <w:rStyle w:val="FootnoteReference"/>
        </w:rPr>
        <w:footnoteRef/>
      </w:r>
      <w:r>
        <w:t xml:space="preserve"> The more frightening scenario at the other end is the possible melting of the grounded ice of the mammoth West Antarctic Sheet (WAIS).  According to estimates by British and Norwegian scientists, there is a five percent chance that the WAIS would melt to such an extent “that sea levels will rise three to six feet over the next two hundred years” (Speth, </w:t>
      </w:r>
      <w:r>
        <w:rPr>
          <w:i/>
        </w:rPr>
        <w:t xml:space="preserve">Red Sky at Morning, </w:t>
      </w:r>
      <w:r>
        <w:t>p. 60).</w:t>
      </w:r>
    </w:p>
  </w:footnote>
  <w:footnote w:id="39">
    <w:p w:rsidR="00EC13CB" w:rsidRDefault="00EC13CB" w:rsidP="00EC13CB">
      <w:pPr>
        <w:pStyle w:val="FootnoteText"/>
      </w:pPr>
      <w:r>
        <w:rPr>
          <w:rStyle w:val="FootnoteReference"/>
        </w:rPr>
        <w:footnoteRef/>
      </w:r>
      <w:r>
        <w:t xml:space="preserve"> Melting permafrost is occurring on a large scale, with at least two drawbacks: whole mountainsides can crumble (a dam is being built for this purpose in St. Moritz, Switzerland); soils that melt release more greenhouse gases (</w:t>
      </w:r>
      <w:r>
        <w:rPr>
          <w:i/>
        </w:rPr>
        <w:t>ibid.,</w:t>
      </w:r>
      <w:r>
        <w:t xml:space="preserve"> p. 59.)</w:t>
      </w:r>
    </w:p>
  </w:footnote>
  <w:footnote w:id="40">
    <w:p w:rsidR="00EC13CB" w:rsidRDefault="00EC13CB" w:rsidP="00EC13CB">
      <w:pPr>
        <w:pStyle w:val="FootnoteText"/>
      </w:pPr>
      <w:r>
        <w:rPr>
          <w:rStyle w:val="FootnoteReference"/>
        </w:rPr>
        <w:footnoteRef/>
      </w:r>
      <w:r>
        <w:t xml:space="preserve"> Speth tells us that a 2002 National Academy of Sciences report “predicts that we are likely to see surprises, sudden shifts, and even drastic upheavals in global climate and its impacts.”  Among these potential surprises: “Fossil evidence shows that the Gulf Stream has shut down in the past, quickly, and plunged the North Atlantic region (not just Europe) into a dramatically cooler area.  Today’s computer models suggest that a shutdown of the Gulf Stream would produce winters twice as cold as the worst winters on record in the eastern United States” (</w:t>
      </w:r>
      <w:r>
        <w:rPr>
          <w:i/>
        </w:rPr>
        <w:t>ibid</w:t>
      </w:r>
      <w:r>
        <w:t>.).</w:t>
      </w:r>
    </w:p>
  </w:footnote>
  <w:footnote w:id="41">
    <w:p w:rsidR="00EC13CB" w:rsidRDefault="00EC13CB" w:rsidP="00EC13CB">
      <w:pPr>
        <w:pStyle w:val="FootnoteText"/>
      </w:pPr>
      <w:r>
        <w:rPr>
          <w:rStyle w:val="FootnoteReference"/>
        </w:rPr>
        <w:footnoteRef/>
      </w:r>
      <w:r>
        <w:t xml:space="preserve"> National Research Council, </w:t>
      </w:r>
      <w:r>
        <w:rPr>
          <w:i/>
        </w:rPr>
        <w:t>Abrupt Climate Change: Inevitable Surprises</w:t>
      </w:r>
      <w:r>
        <w:t xml:space="preserve"> (Washington, D. C.: National Academy Press, 2002), p. 1; cited in Speth, </w:t>
      </w:r>
      <w:r>
        <w:rPr>
          <w:i/>
        </w:rPr>
        <w:t xml:space="preserve">Red Sky at Morning, </w:t>
      </w:r>
      <w:r>
        <w:t>p. 60.</w:t>
      </w:r>
    </w:p>
  </w:footnote>
  <w:footnote w:id="42">
    <w:p w:rsidR="00EC13CB" w:rsidRDefault="00EC13CB" w:rsidP="00EC13CB">
      <w:pPr>
        <w:pStyle w:val="FootnoteText"/>
      </w:pPr>
      <w:r>
        <w:rPr>
          <w:rStyle w:val="FootnoteReference"/>
        </w:rPr>
        <w:footnoteRef/>
      </w:r>
      <w:r>
        <w:t xml:space="preserve"> </w:t>
      </w:r>
      <w:r>
        <w:rPr>
          <w:i/>
        </w:rPr>
        <w:t>Ibid.,</w:t>
      </w:r>
      <w:r>
        <w:t xml:space="preserve"> p. 23.</w:t>
      </w:r>
    </w:p>
  </w:footnote>
  <w:footnote w:id="43">
    <w:p w:rsidR="00EC13CB" w:rsidRDefault="00EC13CB" w:rsidP="00EC13CB">
      <w:pPr>
        <w:pStyle w:val="FootnoteText"/>
      </w:pPr>
      <w:r>
        <w:rPr>
          <w:rStyle w:val="FootnoteReference"/>
        </w:rPr>
        <w:footnoteRef/>
      </w:r>
      <w:r>
        <w:t xml:space="preserve"> </w:t>
      </w:r>
      <w:r>
        <w:rPr>
          <w:i/>
        </w:rPr>
        <w:t>Ibid.,</w:t>
      </w:r>
      <w:r>
        <w:t xml:space="preserve"> p. 44.</w:t>
      </w:r>
    </w:p>
  </w:footnote>
  <w:footnote w:id="44">
    <w:p w:rsidR="00EC13CB" w:rsidRDefault="00EC13CB" w:rsidP="00EC13CB">
      <w:pPr>
        <w:pStyle w:val="FootnoteText"/>
      </w:pPr>
      <w:r>
        <w:rPr>
          <w:rStyle w:val="FootnoteReference"/>
        </w:rPr>
        <w:footnoteRef/>
      </w:r>
      <w:r>
        <w:t xml:space="preserve"> </w:t>
      </w:r>
      <w:r>
        <w:rPr>
          <w:i/>
        </w:rPr>
        <w:t>Ibid.,</w:t>
      </w:r>
      <w:r>
        <w:t xml:space="preserve"> p. 46.  It is estimated that about 80,000 chemicals are circulating today.  What is frightening is that “few toxicity data are publicly available for most of these chemicals. . . . The U.S. Environmental Protection Agency has reviewed the data available on 2,863 commercial-scale synthetic chemicals.  For 43 percent there was a complete absence of toxicity data; full testing and data were available for only 7 percent” (</w:t>
      </w:r>
      <w:r>
        <w:rPr>
          <w:i/>
        </w:rPr>
        <w:t>ibid.,</w:t>
      </w:r>
      <w:r>
        <w:t xml:space="preserve"> p. 47).  The European Commission, on the other hand, has ordered extensive testing on a scale unknown in the US.</w:t>
      </w:r>
    </w:p>
  </w:footnote>
  <w:footnote w:id="45">
    <w:p w:rsidR="00EC13CB" w:rsidRDefault="00EC13CB" w:rsidP="00EC13CB">
      <w:pPr>
        <w:pStyle w:val="FootnoteText"/>
      </w:pPr>
      <w:r>
        <w:rPr>
          <w:rStyle w:val="FootnoteReference"/>
        </w:rPr>
        <w:footnoteRef/>
      </w:r>
      <w:r>
        <w:t xml:space="preserve"> Arguably the worst chemical disaster occurred in Bhopal, India, in 1984.  For a harrowing account of how the people of India (and its poor, primarily) have suffered from free-market deregulation, see </w:t>
      </w:r>
      <w:r>
        <w:rPr>
          <w:i/>
        </w:rPr>
        <w:t>Licence to Kill:</w:t>
      </w:r>
      <w:r>
        <w:t xml:space="preserve"> </w:t>
      </w:r>
      <w:r>
        <w:rPr>
          <w:i/>
        </w:rPr>
        <w:t>How the Holy Trinity—the World Bank, the International Monetary Fund and the World Trade Organisation—Are Killing Livelihoods, Environment and Democracy in India</w:t>
      </w:r>
      <w:r>
        <w:t>, eds, Vandana Shiva et al. (New Delhi: Research Foundation for Science, Technology and Ecology, 2000).</w:t>
      </w:r>
    </w:p>
  </w:footnote>
  <w:footnote w:id="46">
    <w:p w:rsidR="00EC13CB" w:rsidRDefault="00EC13CB" w:rsidP="00EC13CB">
      <w:pPr>
        <w:pStyle w:val="FootnoteText"/>
      </w:pPr>
      <w:r>
        <w:rPr>
          <w:rStyle w:val="FootnoteReference"/>
        </w:rPr>
        <w:footnoteRef/>
      </w:r>
      <w:r>
        <w:t xml:space="preserve"> CFCs, or cholofluorocarbons, present in industrial solvents, refrigerators and in the release of aerosol cans, were blamed in a 1974 report for damaging the earth’s ozone shield.  Speth cites this case as the greatest success story of the environmental movement.  Indeed, many countries took energetic measure to ban these products and by the late 1970s world production of CFCs had dramatically decreased (</w:t>
      </w:r>
      <w:r>
        <w:rPr>
          <w:i/>
        </w:rPr>
        <w:t xml:space="preserve">Red Sky at Morning, </w:t>
      </w:r>
      <w:r>
        <w:t>p. 54).</w:t>
      </w:r>
    </w:p>
  </w:footnote>
  <w:footnote w:id="47">
    <w:p w:rsidR="00EC13CB" w:rsidRDefault="00EC13CB" w:rsidP="00EC13CB">
      <w:pPr>
        <w:pStyle w:val="FootnoteText"/>
      </w:pPr>
      <w:r>
        <w:rPr>
          <w:rStyle w:val="FootnoteReference"/>
        </w:rPr>
        <w:footnoteRef/>
      </w:r>
      <w:r>
        <w:t xml:space="preserve"> </w:t>
      </w:r>
      <w:r>
        <w:rPr>
          <w:i/>
        </w:rPr>
        <w:t>Ibid.,</w:t>
      </w:r>
      <w:r>
        <w:t xml:space="preserve"> p. 24.</w:t>
      </w:r>
    </w:p>
  </w:footnote>
  <w:footnote w:id="48">
    <w:p w:rsidR="00EC13CB" w:rsidRDefault="00EC13CB" w:rsidP="00EC13CB">
      <w:pPr>
        <w:pStyle w:val="FootnoteText"/>
      </w:pPr>
      <w:r>
        <w:rPr>
          <w:rStyle w:val="FootnoteReference"/>
        </w:rPr>
        <w:footnoteRef/>
      </w:r>
      <w:r>
        <w:t xml:space="preserve"> “Biodiversity, Ecosystem Change, and International Development,” </w:t>
      </w:r>
      <w:r>
        <w:rPr>
          <w:i/>
        </w:rPr>
        <w:t>Environment</w:t>
      </w:r>
      <w:r>
        <w:t xml:space="preserve"> 43, 3(2001), p. 22; cited in Speth, </w:t>
      </w:r>
      <w:r>
        <w:rPr>
          <w:i/>
        </w:rPr>
        <w:t>Red Sky at Morning</w:t>
      </w:r>
      <w:r>
        <w:t>, p. 26.</w:t>
      </w:r>
    </w:p>
  </w:footnote>
  <w:footnote w:id="49">
    <w:p w:rsidR="00EC13CB" w:rsidRDefault="00EC13CB" w:rsidP="00EC13CB">
      <w:pPr>
        <w:pStyle w:val="FootnoteText"/>
      </w:pPr>
      <w:r>
        <w:rPr>
          <w:rStyle w:val="FootnoteReference"/>
        </w:rPr>
        <w:footnoteRef/>
      </w:r>
      <w:r>
        <w:t xml:space="preserve"> World Resources Institute, </w:t>
      </w:r>
      <w:r>
        <w:rPr>
          <w:i/>
        </w:rPr>
        <w:t>World Resources, 2000-2001</w:t>
      </w:r>
      <w:r>
        <w:t xml:space="preserve"> (Washington, D.C.: WRI, 2000), p. 3-4; cited in Speth, </w:t>
      </w:r>
      <w:r>
        <w:rPr>
          <w:i/>
        </w:rPr>
        <w:t>Red Sky at Morning</w:t>
      </w:r>
      <w:r>
        <w:t>, p. 26.</w:t>
      </w:r>
    </w:p>
  </w:footnote>
  <w:footnote w:id="50">
    <w:p w:rsidR="00EC13CB" w:rsidRDefault="00EC13CB" w:rsidP="00EC13CB">
      <w:pPr>
        <w:pStyle w:val="FootnoteText"/>
      </w:pPr>
      <w:r>
        <w:rPr>
          <w:rStyle w:val="FootnoteReference"/>
        </w:rPr>
        <w:footnoteRef/>
      </w:r>
      <w:r>
        <w:t xml:space="preserve"> World Resources Institute, </w:t>
      </w:r>
      <w:r>
        <w:rPr>
          <w:i/>
        </w:rPr>
        <w:t>World Resources, 2000-2001</w:t>
      </w:r>
      <w:r>
        <w:t xml:space="preserve">, p. viii; cited in Speth, </w:t>
      </w:r>
      <w:r>
        <w:rPr>
          <w:i/>
        </w:rPr>
        <w:t>Red Sky at Morning</w:t>
      </w:r>
      <w:r>
        <w:t>, p. 26.</w:t>
      </w:r>
    </w:p>
  </w:footnote>
  <w:footnote w:id="51">
    <w:p w:rsidR="00EC13CB" w:rsidRDefault="00EC13CB" w:rsidP="00EC13CB">
      <w:pPr>
        <w:pStyle w:val="FootnoteText"/>
      </w:pPr>
      <w:r>
        <w:rPr>
          <w:rStyle w:val="FootnoteReference"/>
        </w:rPr>
        <w:footnoteRef/>
      </w:r>
      <w:r>
        <w:t xml:space="preserve"> </w:t>
      </w:r>
      <w:r>
        <w:rPr>
          <w:i/>
        </w:rPr>
        <w:t>Ibid.,</w:t>
      </w:r>
      <w:r>
        <w:t xml:space="preserve"> p. 141.</w:t>
      </w:r>
    </w:p>
  </w:footnote>
  <w:footnote w:id="52">
    <w:p w:rsidR="00EC13CB" w:rsidRDefault="00EC13CB" w:rsidP="00EC13CB">
      <w:pPr>
        <w:pStyle w:val="FootnoteText"/>
      </w:pPr>
      <w:r>
        <w:rPr>
          <w:rStyle w:val="FootnoteReference"/>
        </w:rPr>
        <w:footnoteRef/>
      </w:r>
      <w:r>
        <w:t xml:space="preserve"> Martin Khor, “Globalization and Sustainable Development: The Choices Before Rio + 10,” in International Review for Environmental Strategies 2, 2(2001), p. 210; cited in Speth, </w:t>
      </w:r>
      <w:r>
        <w:rPr>
          <w:i/>
        </w:rPr>
        <w:t>Red Sky at Morning</w:t>
      </w:r>
      <w:r>
        <w:t>, p. 142.</w:t>
      </w:r>
    </w:p>
  </w:footnote>
  <w:footnote w:id="53">
    <w:p w:rsidR="00EC13CB" w:rsidRDefault="00EC13CB" w:rsidP="00EC13CB">
      <w:pPr>
        <w:pStyle w:val="FootnoteText"/>
      </w:pPr>
      <w:r>
        <w:rPr>
          <w:rStyle w:val="FootnoteReference"/>
        </w:rPr>
        <w:footnoteRef/>
      </w:r>
      <w:r>
        <w:t xml:space="preserve"> </w:t>
      </w:r>
      <w:r>
        <w:rPr>
          <w:i/>
        </w:rPr>
        <w:t>Water Wars: Privatization, Pollution and Profit</w:t>
      </w:r>
      <w:r>
        <w:t xml:space="preserve"> (Cambridge, MA: South End, 2002), p. 1.  Since 1970, she reports, “the global per capita water supply has declined by 33 percent.”  It is not just a result of population growth, she contends, but “it is exacerbated by excessive water use as well” (</w:t>
      </w:r>
      <w:r>
        <w:rPr>
          <w:i/>
        </w:rPr>
        <w:t>ibid.,</w:t>
      </w:r>
      <w:r>
        <w:t xml:space="preserve"> p. 2).</w:t>
      </w:r>
    </w:p>
  </w:footnote>
  <w:footnote w:id="54">
    <w:p w:rsidR="00EC13CB" w:rsidRDefault="00EC13CB" w:rsidP="00EC13CB">
      <w:pPr>
        <w:pStyle w:val="FootnoteText"/>
      </w:pPr>
      <w:r>
        <w:rPr>
          <w:rStyle w:val="FootnoteReference"/>
        </w:rPr>
        <w:footnoteRef/>
      </w:r>
      <w:r>
        <w:t xml:space="preserve"> </w:t>
      </w:r>
      <w:r>
        <w:rPr>
          <w:i/>
        </w:rPr>
        <w:t>Ibid.,</w:t>
      </w:r>
      <w:r>
        <w:t xml:space="preserve"> p. 3.</w:t>
      </w:r>
    </w:p>
  </w:footnote>
  <w:footnote w:id="55">
    <w:p w:rsidR="00EC13CB" w:rsidRDefault="00EC13CB" w:rsidP="00EC13CB">
      <w:pPr>
        <w:pStyle w:val="FootnoteText"/>
      </w:pPr>
      <w:r>
        <w:rPr>
          <w:rStyle w:val="FootnoteReference"/>
        </w:rPr>
        <w:footnoteRef/>
      </w:r>
      <w:r>
        <w:t xml:space="preserve"> </w:t>
      </w:r>
      <w:r>
        <w:rPr>
          <w:i/>
        </w:rPr>
        <w:t>Ibid.,</w:t>
      </w:r>
      <w:r>
        <w:t xml:space="preserve"> p. 42.</w:t>
      </w:r>
    </w:p>
  </w:footnote>
  <w:footnote w:id="56">
    <w:p w:rsidR="00EC13CB" w:rsidRDefault="00EC13CB" w:rsidP="00EC13CB">
      <w:pPr>
        <w:pStyle w:val="FootnoteText"/>
      </w:pPr>
      <w:r>
        <w:rPr>
          <w:rStyle w:val="FootnoteReference"/>
        </w:rPr>
        <w:footnoteRef/>
      </w:r>
      <w:r>
        <w:t xml:space="preserve"> Marq De Villiers, </w:t>
      </w:r>
      <w:r>
        <w:rPr>
          <w:i/>
        </w:rPr>
        <w:t>Water: The Fate of Our Most Precious Resource</w:t>
      </w:r>
      <w:r>
        <w:t xml:space="preserve"> (New York: Houghton Mifflin, 2000), p. 143; cited in Shiva, </w:t>
      </w:r>
      <w:r>
        <w:rPr>
          <w:i/>
        </w:rPr>
        <w:t>Water Wars</w:t>
      </w:r>
      <w:r>
        <w:t>, p. 114.</w:t>
      </w:r>
    </w:p>
  </w:footnote>
  <w:footnote w:id="57">
    <w:p w:rsidR="00EC13CB" w:rsidRDefault="00EC13CB" w:rsidP="00EC13CB">
      <w:pPr>
        <w:pStyle w:val="FootnoteText"/>
      </w:pPr>
      <w:r>
        <w:rPr>
          <w:rStyle w:val="FootnoteReference"/>
        </w:rPr>
        <w:footnoteRef/>
      </w:r>
      <w:r>
        <w:t xml:space="preserve"> Ibid., p. 119.</w:t>
      </w:r>
    </w:p>
  </w:footnote>
  <w:footnote w:id="58">
    <w:p w:rsidR="00EC13CB" w:rsidRDefault="00EC13CB" w:rsidP="00EC13CB">
      <w:pPr>
        <w:pStyle w:val="FootnoteText"/>
      </w:pPr>
      <w:r>
        <w:rPr>
          <w:rStyle w:val="FootnoteReference"/>
        </w:rPr>
        <w:footnoteRef/>
      </w:r>
      <w:r>
        <w:t xml:space="preserve"> U.S. Council on Environmental Quality, </w:t>
      </w:r>
      <w:r>
        <w:rPr>
          <w:i/>
        </w:rPr>
        <w:t>Global Energy Futures and the Carbon Dioxide Problem</w:t>
      </w:r>
      <w:r>
        <w:t xml:space="preserve"> (Washington, D.C.: Government Printing Office, 1981); cited in Speth, </w:t>
      </w:r>
      <w:r>
        <w:rPr>
          <w:i/>
        </w:rPr>
        <w:t>Red Sky at Morning</w:t>
      </w:r>
      <w:r>
        <w:t>, p. 5.</w:t>
      </w:r>
    </w:p>
  </w:footnote>
  <w:footnote w:id="59">
    <w:p w:rsidR="00EC13CB" w:rsidRDefault="00EC13CB" w:rsidP="00EC13CB">
      <w:pPr>
        <w:pStyle w:val="FootnoteText"/>
      </w:pPr>
      <w:r>
        <w:rPr>
          <w:rStyle w:val="FootnoteReference"/>
        </w:rPr>
        <w:footnoteRef/>
      </w:r>
      <w:r>
        <w:t xml:space="preserve"> Keith Alverson et al., </w:t>
      </w:r>
      <w:r>
        <w:rPr>
          <w:i/>
        </w:rPr>
        <w:t>Environmental Variability and Climate Change</w:t>
      </w:r>
      <w:r>
        <w:t xml:space="preserve">, International Geosphere-Biosphere Program Science Series No. 3, 2001; cited in Speth, </w:t>
      </w:r>
      <w:r>
        <w:rPr>
          <w:i/>
        </w:rPr>
        <w:t xml:space="preserve">Red Sky at Morning., </w:t>
      </w:r>
      <w:r>
        <w:t>p. 60.</w:t>
      </w:r>
    </w:p>
  </w:footnote>
  <w:footnote w:id="60">
    <w:p w:rsidR="00EC13CB" w:rsidRDefault="00EC13CB" w:rsidP="00EC13CB">
      <w:pPr>
        <w:pStyle w:val="FootnoteText"/>
      </w:pPr>
      <w:r>
        <w:rPr>
          <w:rStyle w:val="FootnoteReference"/>
        </w:rPr>
        <w:footnoteRef/>
      </w:r>
      <w:r>
        <w:t xml:space="preserve"> Korten, </w:t>
      </w:r>
      <w:r>
        <w:rPr>
          <w:i/>
        </w:rPr>
        <w:t xml:space="preserve">When Corporations Rule the World, </w:t>
      </w:r>
      <w:r>
        <w:t>p. 28.</w:t>
      </w:r>
    </w:p>
  </w:footnote>
  <w:footnote w:id="61">
    <w:p w:rsidR="00EC13CB" w:rsidRDefault="00EC13CB" w:rsidP="00EC13CB">
      <w:pPr>
        <w:pStyle w:val="FootnoteText"/>
      </w:pPr>
      <w:r>
        <w:rPr>
          <w:rStyle w:val="FootnoteReference"/>
        </w:rPr>
        <w:footnoteRef/>
      </w:r>
      <w:r>
        <w:t xml:space="preserve"> </w:t>
      </w:r>
      <w:r>
        <w:rPr>
          <w:i/>
        </w:rPr>
        <w:t>Red Sky at Morning</w:t>
      </w:r>
      <w:r>
        <w:t>, p. 20-1.</w:t>
      </w:r>
    </w:p>
  </w:footnote>
  <w:footnote w:id="62">
    <w:p w:rsidR="00EC13CB" w:rsidRDefault="00EC13CB" w:rsidP="00EC13CB">
      <w:pPr>
        <w:pStyle w:val="FootnoteText"/>
      </w:pPr>
      <w:r>
        <w:rPr>
          <w:rStyle w:val="FootnoteReference"/>
        </w:rPr>
        <w:footnoteRef/>
      </w:r>
      <w:r>
        <w:t xml:space="preserve"> </w:t>
      </w:r>
      <w:r>
        <w:rPr>
          <w:i/>
        </w:rPr>
        <w:t>Getting to the 21</w:t>
      </w:r>
      <w:r>
        <w:rPr>
          <w:i/>
          <w:vertAlign w:val="superscript"/>
        </w:rPr>
        <w:t>st</w:t>
      </w:r>
      <w:r>
        <w:rPr>
          <w:i/>
        </w:rPr>
        <w:t xml:space="preserve"> Century</w:t>
      </w:r>
      <w:r>
        <w:t>, p. 37, emphasis his.</w:t>
      </w:r>
    </w:p>
  </w:footnote>
  <w:footnote w:id="63">
    <w:p w:rsidR="00EC13CB" w:rsidRDefault="00EC13CB" w:rsidP="00EC13CB">
      <w:pPr>
        <w:pStyle w:val="FootnoteText"/>
      </w:pPr>
      <w:r>
        <w:rPr>
          <w:rStyle w:val="FootnoteReference"/>
        </w:rPr>
        <w:footnoteRef/>
      </w:r>
      <w:r>
        <w:t xml:space="preserve"> Cited in Wesley Grandberg-Michaelson, </w:t>
      </w:r>
      <w:r>
        <w:rPr>
          <w:i/>
        </w:rPr>
        <w:t>Redeeming the Creation: The Rio Summit: Challenge for the Churches</w:t>
      </w:r>
      <w:r>
        <w:t xml:space="preserve"> (Geneva: WCC, 1992), p. 7.</w:t>
      </w:r>
    </w:p>
  </w:footnote>
  <w:footnote w:id="64">
    <w:p w:rsidR="00EC13CB" w:rsidRDefault="00EC13CB" w:rsidP="00EC13CB">
      <w:pPr>
        <w:pStyle w:val="FootnoteText"/>
      </w:pPr>
      <w:r>
        <w:rPr>
          <w:rStyle w:val="FootnoteReference"/>
        </w:rPr>
        <w:footnoteRef/>
      </w:r>
      <w:r>
        <w:t xml:space="preserve"> As Korten notes, “Too often the exploitation of natural resources for export deprives local people of their land and livelihoods—in order to repay loans that benefited only the rich by catering to the overconsumption of wealthy foreign consumers” (</w:t>
      </w:r>
      <w:r>
        <w:rPr>
          <w:i/>
        </w:rPr>
        <w:t>Getting to the 21</w:t>
      </w:r>
      <w:r>
        <w:rPr>
          <w:i/>
          <w:vertAlign w:val="superscript"/>
        </w:rPr>
        <w:t>st</w:t>
      </w:r>
      <w:r>
        <w:rPr>
          <w:i/>
        </w:rPr>
        <w:t xml:space="preserve"> Century</w:t>
      </w:r>
      <w:r>
        <w:t>, p. 220).</w:t>
      </w:r>
    </w:p>
  </w:footnote>
  <w:footnote w:id="65">
    <w:p w:rsidR="00EC13CB" w:rsidRDefault="00EC13CB" w:rsidP="00EC13CB">
      <w:pPr>
        <w:pStyle w:val="FootnoteText"/>
      </w:pPr>
      <w:r>
        <w:rPr>
          <w:rStyle w:val="FootnoteReference"/>
        </w:rPr>
        <w:footnoteRef/>
      </w:r>
      <w:r>
        <w:t xml:space="preserve"> </w:t>
      </w:r>
      <w:r>
        <w:rPr>
          <w:i/>
        </w:rPr>
        <w:t xml:space="preserve">Earth Community, Earth Ethics, </w:t>
      </w:r>
      <w:r>
        <w:t>p. 131.</w:t>
      </w:r>
    </w:p>
  </w:footnote>
  <w:footnote w:id="66">
    <w:p w:rsidR="00EC13CB" w:rsidRDefault="00EC13CB" w:rsidP="00EC13CB">
      <w:pPr>
        <w:pStyle w:val="FootnoteText"/>
      </w:pPr>
      <w:r>
        <w:rPr>
          <w:rStyle w:val="FootnoteReference"/>
        </w:rPr>
        <w:footnoteRef/>
      </w:r>
      <w:r>
        <w:t xml:space="preserve"> See Rasmussen on global patterns (an in the US) of systematically dumping toxic waste in the “neighborhoods” of the poor and people of color (</w:t>
      </w:r>
      <w:r>
        <w:rPr>
          <w:i/>
        </w:rPr>
        <w:t>ibid.,</w:t>
      </w:r>
      <w:r>
        <w:t xml:space="preserve"> pp. 75-8).</w:t>
      </w:r>
    </w:p>
  </w:footnote>
  <w:footnote w:id="67">
    <w:p w:rsidR="00EC13CB" w:rsidRDefault="00EC13CB" w:rsidP="00EC13CB">
      <w:pPr>
        <w:pStyle w:val="FootnoteText"/>
      </w:pPr>
      <w:r>
        <w:rPr>
          <w:rStyle w:val="FootnoteReference"/>
        </w:rPr>
        <w:footnoteRef/>
      </w:r>
      <w:r>
        <w:t xml:space="preserve"> Dayton W. Roberts, </w:t>
      </w:r>
      <w:r>
        <w:rPr>
          <w:i/>
        </w:rPr>
        <w:t>Patching God’s Garment: Environment and Mission in the 21</w:t>
      </w:r>
      <w:r>
        <w:rPr>
          <w:i/>
          <w:vertAlign w:val="superscript"/>
        </w:rPr>
        <w:t>st</w:t>
      </w:r>
      <w:r>
        <w:rPr>
          <w:i/>
        </w:rPr>
        <w:t xml:space="preserve"> Century</w:t>
      </w:r>
      <w:r>
        <w:t xml:space="preserve"> (Monrovia, CA: MARC, 1994), p. iv.</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F460F"/>
    <w:multiLevelType w:val="hybridMultilevel"/>
    <w:tmpl w:val="FB5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D62D92"/>
    <w:multiLevelType w:val="hybridMultilevel"/>
    <w:tmpl w:val="EFB49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CB"/>
    <w:rsid w:val="0058521C"/>
    <w:rsid w:val="00EC13CB"/>
    <w:rsid w:val="00F23E62"/>
    <w:rsid w:val="00F32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5440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23E62"/>
    <w:pPr>
      <w:keepNext/>
      <w:spacing w:before="240" w:after="240"/>
      <w:jc w:val="center"/>
      <w:outlineLvl w:val="0"/>
    </w:pPr>
    <w:rPr>
      <w:rFonts w:ascii="Times" w:eastAsia="Times" w:hAnsi="Times" w:cs="Times New Roman"/>
      <w:b/>
      <w:noProof/>
      <w:kern w:val="32"/>
      <w:sz w:val="28"/>
      <w:szCs w:val="20"/>
    </w:rPr>
  </w:style>
  <w:style w:type="paragraph" w:styleId="Heading2">
    <w:name w:val="heading 2"/>
    <w:basedOn w:val="Normal"/>
    <w:next w:val="Normal"/>
    <w:link w:val="Heading2Char"/>
    <w:qFormat/>
    <w:rsid w:val="00F23E62"/>
    <w:pPr>
      <w:keepNext/>
      <w:spacing w:before="240" w:after="240"/>
      <w:outlineLvl w:val="1"/>
    </w:pPr>
    <w:rPr>
      <w:rFonts w:ascii="Times" w:eastAsia="Times" w:hAnsi="Times"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E62"/>
    <w:rPr>
      <w:rFonts w:ascii="Times" w:eastAsia="Times" w:hAnsi="Times" w:cs="Times New Roman"/>
      <w:b/>
      <w:noProof/>
      <w:kern w:val="32"/>
      <w:sz w:val="28"/>
      <w:szCs w:val="20"/>
    </w:rPr>
  </w:style>
  <w:style w:type="character" w:customStyle="1" w:styleId="Heading2Char">
    <w:name w:val="Heading 2 Char"/>
    <w:basedOn w:val="DefaultParagraphFont"/>
    <w:link w:val="Heading2"/>
    <w:rsid w:val="00F23E62"/>
    <w:rPr>
      <w:rFonts w:ascii="Times" w:eastAsia="Times" w:hAnsi="Times" w:cs="Times New Roman"/>
      <w:b/>
      <w:noProof/>
      <w:szCs w:val="20"/>
    </w:rPr>
  </w:style>
  <w:style w:type="paragraph" w:styleId="FootnoteText">
    <w:name w:val="footnote text"/>
    <w:basedOn w:val="Normal"/>
    <w:link w:val="FootnoteTextChar"/>
    <w:rsid w:val="00EC13CB"/>
    <w:rPr>
      <w:rFonts w:ascii="Times" w:eastAsia="Times" w:hAnsi="Times" w:cs="Times New Roman"/>
      <w:noProof/>
      <w:sz w:val="20"/>
      <w:szCs w:val="20"/>
    </w:rPr>
  </w:style>
  <w:style w:type="character" w:customStyle="1" w:styleId="FootnoteTextChar">
    <w:name w:val="Footnote Text Char"/>
    <w:basedOn w:val="DefaultParagraphFont"/>
    <w:link w:val="FootnoteText"/>
    <w:rsid w:val="00EC13CB"/>
    <w:rPr>
      <w:rFonts w:ascii="Times" w:eastAsia="Times" w:hAnsi="Times" w:cs="Times New Roman"/>
      <w:noProof/>
      <w:sz w:val="20"/>
      <w:szCs w:val="20"/>
    </w:rPr>
  </w:style>
  <w:style w:type="paragraph" w:styleId="BodyText">
    <w:name w:val="Body Text"/>
    <w:basedOn w:val="Normal"/>
    <w:link w:val="BodyTextChar"/>
    <w:rsid w:val="00EC13CB"/>
    <w:pPr>
      <w:spacing w:after="120" w:line="480" w:lineRule="auto"/>
      <w:ind w:firstLine="720"/>
    </w:pPr>
    <w:rPr>
      <w:rFonts w:ascii="Times" w:eastAsia="Times" w:hAnsi="Times" w:cs="Times New Roman"/>
      <w:noProof/>
      <w:szCs w:val="20"/>
    </w:rPr>
  </w:style>
  <w:style w:type="character" w:customStyle="1" w:styleId="BodyTextChar">
    <w:name w:val="Body Text Char"/>
    <w:basedOn w:val="DefaultParagraphFont"/>
    <w:link w:val="BodyText"/>
    <w:rsid w:val="00EC13CB"/>
    <w:rPr>
      <w:rFonts w:ascii="Times" w:eastAsia="Times" w:hAnsi="Times" w:cs="Times New Roman"/>
      <w:noProof/>
      <w:szCs w:val="20"/>
    </w:rPr>
  </w:style>
  <w:style w:type="character" w:styleId="FootnoteReference">
    <w:name w:val="footnote reference"/>
    <w:basedOn w:val="DefaultParagraphFont"/>
    <w:rsid w:val="00EC13CB"/>
    <w:rPr>
      <w:vertAlign w:val="superscript"/>
    </w:rPr>
  </w:style>
  <w:style w:type="character" w:styleId="Hyperlink">
    <w:name w:val="Hyperlink"/>
    <w:basedOn w:val="DefaultParagraphFont"/>
    <w:rsid w:val="00EC13CB"/>
    <w:rPr>
      <w:color w:val="0000FF"/>
      <w:u w:val="single"/>
    </w:rPr>
  </w:style>
  <w:style w:type="paragraph" w:styleId="BlockText">
    <w:name w:val="Block Text"/>
    <w:basedOn w:val="Normal"/>
    <w:rsid w:val="00EC13CB"/>
    <w:pPr>
      <w:spacing w:before="120" w:after="240"/>
      <w:ind w:left="720" w:right="720"/>
    </w:pPr>
    <w:rPr>
      <w:rFonts w:ascii="Times" w:eastAsia="Times" w:hAnsi="Times" w:cs="Times New Roman"/>
      <w:noProof/>
      <w:szCs w:val="20"/>
    </w:rPr>
  </w:style>
  <w:style w:type="paragraph" w:styleId="Title">
    <w:name w:val="Title"/>
    <w:basedOn w:val="Normal"/>
    <w:link w:val="TitleChar"/>
    <w:qFormat/>
    <w:rsid w:val="00EC13CB"/>
    <w:pPr>
      <w:spacing w:before="240" w:after="240" w:line="480" w:lineRule="auto"/>
      <w:jc w:val="center"/>
      <w:outlineLvl w:val="0"/>
    </w:pPr>
    <w:rPr>
      <w:rFonts w:ascii="Times" w:eastAsia="Times" w:hAnsi="Times" w:cs="Times New Roman"/>
      <w:b/>
      <w:noProof/>
      <w:kern w:val="28"/>
      <w:sz w:val="32"/>
      <w:szCs w:val="20"/>
    </w:rPr>
  </w:style>
  <w:style w:type="character" w:customStyle="1" w:styleId="TitleChar">
    <w:name w:val="Title Char"/>
    <w:basedOn w:val="DefaultParagraphFont"/>
    <w:link w:val="Title"/>
    <w:rsid w:val="00EC13CB"/>
    <w:rPr>
      <w:rFonts w:ascii="Times" w:eastAsia="Times" w:hAnsi="Times" w:cs="Times New Roman"/>
      <w:b/>
      <w:noProof/>
      <w:kern w:val="28"/>
      <w:sz w:val="3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23E62"/>
    <w:pPr>
      <w:keepNext/>
      <w:spacing w:before="240" w:after="240"/>
      <w:jc w:val="center"/>
      <w:outlineLvl w:val="0"/>
    </w:pPr>
    <w:rPr>
      <w:rFonts w:ascii="Times" w:eastAsia="Times" w:hAnsi="Times" w:cs="Times New Roman"/>
      <w:b/>
      <w:noProof/>
      <w:kern w:val="32"/>
      <w:sz w:val="28"/>
      <w:szCs w:val="20"/>
    </w:rPr>
  </w:style>
  <w:style w:type="paragraph" w:styleId="Heading2">
    <w:name w:val="heading 2"/>
    <w:basedOn w:val="Normal"/>
    <w:next w:val="Normal"/>
    <w:link w:val="Heading2Char"/>
    <w:qFormat/>
    <w:rsid w:val="00F23E62"/>
    <w:pPr>
      <w:keepNext/>
      <w:spacing w:before="240" w:after="240"/>
      <w:outlineLvl w:val="1"/>
    </w:pPr>
    <w:rPr>
      <w:rFonts w:ascii="Times" w:eastAsia="Times" w:hAnsi="Times"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E62"/>
    <w:rPr>
      <w:rFonts w:ascii="Times" w:eastAsia="Times" w:hAnsi="Times" w:cs="Times New Roman"/>
      <w:b/>
      <w:noProof/>
      <w:kern w:val="32"/>
      <w:sz w:val="28"/>
      <w:szCs w:val="20"/>
    </w:rPr>
  </w:style>
  <w:style w:type="character" w:customStyle="1" w:styleId="Heading2Char">
    <w:name w:val="Heading 2 Char"/>
    <w:basedOn w:val="DefaultParagraphFont"/>
    <w:link w:val="Heading2"/>
    <w:rsid w:val="00F23E62"/>
    <w:rPr>
      <w:rFonts w:ascii="Times" w:eastAsia="Times" w:hAnsi="Times" w:cs="Times New Roman"/>
      <w:b/>
      <w:noProof/>
      <w:szCs w:val="20"/>
    </w:rPr>
  </w:style>
  <w:style w:type="paragraph" w:styleId="FootnoteText">
    <w:name w:val="footnote text"/>
    <w:basedOn w:val="Normal"/>
    <w:link w:val="FootnoteTextChar"/>
    <w:rsid w:val="00EC13CB"/>
    <w:rPr>
      <w:rFonts w:ascii="Times" w:eastAsia="Times" w:hAnsi="Times" w:cs="Times New Roman"/>
      <w:noProof/>
      <w:sz w:val="20"/>
      <w:szCs w:val="20"/>
    </w:rPr>
  </w:style>
  <w:style w:type="character" w:customStyle="1" w:styleId="FootnoteTextChar">
    <w:name w:val="Footnote Text Char"/>
    <w:basedOn w:val="DefaultParagraphFont"/>
    <w:link w:val="FootnoteText"/>
    <w:rsid w:val="00EC13CB"/>
    <w:rPr>
      <w:rFonts w:ascii="Times" w:eastAsia="Times" w:hAnsi="Times" w:cs="Times New Roman"/>
      <w:noProof/>
      <w:sz w:val="20"/>
      <w:szCs w:val="20"/>
    </w:rPr>
  </w:style>
  <w:style w:type="paragraph" w:styleId="BodyText">
    <w:name w:val="Body Text"/>
    <w:basedOn w:val="Normal"/>
    <w:link w:val="BodyTextChar"/>
    <w:rsid w:val="00EC13CB"/>
    <w:pPr>
      <w:spacing w:after="120" w:line="480" w:lineRule="auto"/>
      <w:ind w:firstLine="720"/>
    </w:pPr>
    <w:rPr>
      <w:rFonts w:ascii="Times" w:eastAsia="Times" w:hAnsi="Times" w:cs="Times New Roman"/>
      <w:noProof/>
      <w:szCs w:val="20"/>
    </w:rPr>
  </w:style>
  <w:style w:type="character" w:customStyle="1" w:styleId="BodyTextChar">
    <w:name w:val="Body Text Char"/>
    <w:basedOn w:val="DefaultParagraphFont"/>
    <w:link w:val="BodyText"/>
    <w:rsid w:val="00EC13CB"/>
    <w:rPr>
      <w:rFonts w:ascii="Times" w:eastAsia="Times" w:hAnsi="Times" w:cs="Times New Roman"/>
      <w:noProof/>
      <w:szCs w:val="20"/>
    </w:rPr>
  </w:style>
  <w:style w:type="character" w:styleId="FootnoteReference">
    <w:name w:val="footnote reference"/>
    <w:basedOn w:val="DefaultParagraphFont"/>
    <w:rsid w:val="00EC13CB"/>
    <w:rPr>
      <w:vertAlign w:val="superscript"/>
    </w:rPr>
  </w:style>
  <w:style w:type="character" w:styleId="Hyperlink">
    <w:name w:val="Hyperlink"/>
    <w:basedOn w:val="DefaultParagraphFont"/>
    <w:rsid w:val="00EC13CB"/>
    <w:rPr>
      <w:color w:val="0000FF"/>
      <w:u w:val="single"/>
    </w:rPr>
  </w:style>
  <w:style w:type="paragraph" w:styleId="BlockText">
    <w:name w:val="Block Text"/>
    <w:basedOn w:val="Normal"/>
    <w:rsid w:val="00EC13CB"/>
    <w:pPr>
      <w:spacing w:before="120" w:after="240"/>
      <w:ind w:left="720" w:right="720"/>
    </w:pPr>
    <w:rPr>
      <w:rFonts w:ascii="Times" w:eastAsia="Times" w:hAnsi="Times" w:cs="Times New Roman"/>
      <w:noProof/>
      <w:szCs w:val="20"/>
    </w:rPr>
  </w:style>
  <w:style w:type="paragraph" w:styleId="Title">
    <w:name w:val="Title"/>
    <w:basedOn w:val="Normal"/>
    <w:link w:val="TitleChar"/>
    <w:qFormat/>
    <w:rsid w:val="00EC13CB"/>
    <w:pPr>
      <w:spacing w:before="240" w:after="240" w:line="480" w:lineRule="auto"/>
      <w:jc w:val="center"/>
      <w:outlineLvl w:val="0"/>
    </w:pPr>
    <w:rPr>
      <w:rFonts w:ascii="Times" w:eastAsia="Times" w:hAnsi="Times" w:cs="Times New Roman"/>
      <w:b/>
      <w:noProof/>
      <w:kern w:val="28"/>
      <w:sz w:val="32"/>
      <w:szCs w:val="20"/>
    </w:rPr>
  </w:style>
  <w:style w:type="character" w:customStyle="1" w:styleId="TitleChar">
    <w:name w:val="Title Char"/>
    <w:basedOn w:val="DefaultParagraphFont"/>
    <w:link w:val="Title"/>
    <w:rsid w:val="00EC13CB"/>
    <w:rPr>
      <w:rFonts w:ascii="Times" w:eastAsia="Times" w:hAnsi="Times" w:cs="Times New Roman"/>
      <w:b/>
      <w:noProof/>
      <w:kern w:val="28"/>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yaleglobal.yale.edu/display.article?id=2721" TargetMode="External"/><Relationship Id="rId2" Type="http://schemas.openxmlformats.org/officeDocument/2006/relationships/hyperlink" Target="http://news.independent.co.uk/world/environment/article301493.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6856</Words>
  <Characters>39083</Characters>
  <Application>Microsoft Macintosh Word</Application>
  <DocSecurity>0</DocSecurity>
  <Lines>325</Lines>
  <Paragraphs>91</Paragraphs>
  <ScaleCrop>false</ScaleCrop>
  <Company/>
  <LinksUpToDate>false</LinksUpToDate>
  <CharactersWithSpaces>45848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Johnston</dc:creator>
  <cp:keywords/>
  <dc:description/>
  <cp:lastModifiedBy>David Johnston</cp:lastModifiedBy>
  <cp:revision>1</cp:revision>
  <dcterms:created xsi:type="dcterms:W3CDTF">2018-11-08T17:24:00Z</dcterms:created>
  <dcterms:modified xsi:type="dcterms:W3CDTF">2018-11-08T17:42:00Z</dcterms:modified>
</cp:coreProperties>
</file>