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65BC7" w14:textId="77777777" w:rsidR="00436D9E" w:rsidRDefault="00436D9E" w:rsidP="00436D9E">
      <w:pPr>
        <w:pStyle w:val="BodyText"/>
        <w:ind w:firstLine="720"/>
      </w:pPr>
      <w:bookmarkStart w:id="0" w:name="_GoBack"/>
      <w:bookmarkEnd w:id="0"/>
      <w:r>
        <w:t>I begin this chapter with an African case study about Christian-Muslim relations in Nigeria, which historian John N. Paden called “a pivotal state in the Muslim World.”</w:t>
      </w:r>
      <w:r>
        <w:rPr>
          <w:rStyle w:val="FootnoteReference"/>
        </w:rPr>
        <w:footnoteReference w:id="1"/>
      </w:r>
      <w:r>
        <w:t xml:space="preserve"> Africa is dominated by three powers, he contends. Muslim Egypt in the north, the Christian south, and Nigeria, a major oil producer with by far the largest population (over 180 million as of 2016), and which also has the largest population of Christians and the largest population of Muslims on the continent simultneously.</w:t>
      </w:r>
    </w:p>
    <w:p w14:paraId="256BB1FE" w14:textId="77777777" w:rsidR="00436D9E" w:rsidRDefault="00436D9E" w:rsidP="00436D9E">
      <w:pPr>
        <w:pStyle w:val="BodyText"/>
        <w:ind w:firstLine="720"/>
      </w:pPr>
      <w:r>
        <w:t>The case study concerns the decision made by twelve Northern states in 1999, the year the first democratic presidential election had taken place, to adopt Shari’a law. This development, at least in the beginning, caused no end of shrill condemnation by Nigerian Christians and the international media in general. Frieder Ludwig provides a useful summary of the issues and the violence that took place:</w:t>
      </w:r>
    </w:p>
    <w:p w14:paraId="2F9828CD" w14:textId="77777777" w:rsidR="00436D9E" w:rsidRPr="000C7BD6" w:rsidRDefault="00436D9E" w:rsidP="00436D9E">
      <w:pPr>
        <w:pStyle w:val="BlockText"/>
      </w:pPr>
      <w:r w:rsidRPr="000C7BD6">
        <w:t xml:space="preserve">Since most Nigerian Muslims tend to see the introduction of Shari'ah as the restitution of their rights which they had lost during the colonial period, while many Christians regard this measure as a step to Islamize Nigeria, there had been tensions and </w:t>
      </w:r>
      <w:r>
        <w:t xml:space="preserve">sometimes violent conflicts – as </w:t>
      </w:r>
      <w:r w:rsidRPr="000C7BD6">
        <w:t>for instance in Kaduna (February 2000 and November 2002), in Bauchi (June 2001), in Jos (September 2001), and</w:t>
      </w:r>
      <w:r>
        <w:t xml:space="preserve"> in Yelwa (February 2004).</w:t>
      </w:r>
      <w:r>
        <w:rPr>
          <w:rStyle w:val="FootnoteReference"/>
        </w:rPr>
        <w:footnoteReference w:id="2"/>
      </w:r>
    </w:p>
    <w:p w14:paraId="7B621DE8" w14:textId="77777777" w:rsidR="00436D9E" w:rsidRDefault="00436D9E" w:rsidP="00436D9E">
      <w:pPr>
        <w:pStyle w:val="BodyText"/>
        <w:ind w:firstLine="720"/>
      </w:pPr>
      <w:r>
        <w:t xml:space="preserve">Though the issue of Shari’a was likely an important factor in this cycle of violence, there are many other layers to these tensions. One of the more violent incidents took place in Plateau State (Yelma, above), when in February 2004 seventy-eight Christians were killed and several churches were torched. Then in May, Christians took revenge, killing 660 Muslims (a number confirmed by Human Rights Watch). As a result </w:t>
      </w:r>
      <w:r>
        <w:lastRenderedPageBreak/>
        <w:t>of this massacre, somewhere between 40 and 60,000 people were internally displaced.</w:t>
      </w:r>
      <w:r>
        <w:rPr>
          <w:rStyle w:val="FootnoteReference"/>
        </w:rPr>
        <w:footnoteReference w:id="3"/>
      </w:r>
      <w:r>
        <w:t xml:space="preserve"> Note, however, that this was not one of the “Shari’a states.”</w:t>
      </w:r>
    </w:p>
    <w:p w14:paraId="7E223A86" w14:textId="77777777" w:rsidR="00436D9E" w:rsidRDefault="00436D9E" w:rsidP="00436D9E">
      <w:pPr>
        <w:pStyle w:val="BodyText"/>
        <w:ind w:firstLine="720"/>
      </w:pPr>
      <w:r>
        <w:t>Clearly this is not all about religion, at least in some of the more recent waves of killings. The original tribes of this so-called Middle Belt of Nigeria farm the land. Many Hausa-Fulanis from the north, traditional herders and nomads, have emigrated there in past decades and they complain about discrimination and the lack of many advantages enjoyed by the region’s natives who are mostly Christian with numerous devotees of African traditional religions as well.</w:t>
      </w:r>
      <w:r>
        <w:rPr>
          <w:rStyle w:val="FootnoteReference"/>
        </w:rPr>
        <w:footnoteReference w:id="4"/>
      </w:r>
      <w:r>
        <w:t xml:space="preserve"> As Ludwig shows, these clashes “expressed social tensions</w:t>
      </w:r>
      <w:r w:rsidRPr="009821E3">
        <w:t xml:space="preserve"> </w:t>
      </w:r>
      <w:r>
        <w:t>and ethnic conflicts.” In Kaduna, where some of the worst clashes related to the adoption of Shari’a law took place, “there had been long-standing animosity between the ethnic groups of the Hausa and the largely Christianized Kajes and Katafs who had been integrated against their will into the Islamic region by the British.”</w:t>
      </w:r>
      <w:r>
        <w:rPr>
          <w:rStyle w:val="FootnoteReference"/>
        </w:rPr>
        <w:footnoteReference w:id="5"/>
      </w:r>
      <w:r>
        <w:t xml:space="preserve"> Further, in Jos, the capital of Plateau State, by definition not one of the twelve states that implemented some form of Shari’a, Muslims originally from the south had to deal with threats both from recent Hausa settlers and from local Christians. Finally, when law and order breaks down, the vacuum draws in criminal elements. Then we see an older collegiality between Muslims and Christians coming to the fore:</w:t>
      </w:r>
    </w:p>
    <w:p w14:paraId="022C2098" w14:textId="77777777" w:rsidR="00436D9E" w:rsidRPr="00C51EB9" w:rsidRDefault="00436D9E" w:rsidP="00436D9E">
      <w:pPr>
        <w:pStyle w:val="BlockText"/>
        <w:rPr>
          <w:szCs w:val="24"/>
        </w:rPr>
      </w:pPr>
      <w:r w:rsidRPr="00C51EB9">
        <w:rPr>
          <w:szCs w:val="24"/>
        </w:rPr>
        <w:t>Christians and Muslims joined forces</w:t>
      </w:r>
      <w:r>
        <w:rPr>
          <w:szCs w:val="24"/>
        </w:rPr>
        <w:t xml:space="preserve"> against troublemakers and plun</w:t>
      </w:r>
      <w:r w:rsidRPr="00C51EB9">
        <w:rPr>
          <w:szCs w:val="24"/>
        </w:rPr>
        <w:t>derers. The Christian Association of N</w:t>
      </w:r>
      <w:r>
        <w:rPr>
          <w:szCs w:val="24"/>
        </w:rPr>
        <w:t>igeria (CAN) called for investi</w:t>
      </w:r>
      <w:r w:rsidRPr="00C51EB9">
        <w:rPr>
          <w:szCs w:val="24"/>
        </w:rPr>
        <w:t>gations of the role of the police during the conflicts. At the same time talks also intensified between the rep</w:t>
      </w:r>
      <w:r>
        <w:rPr>
          <w:szCs w:val="24"/>
        </w:rPr>
        <w:t>resentatives of religious commu</w:t>
      </w:r>
      <w:r w:rsidRPr="00C51EB9">
        <w:rPr>
          <w:szCs w:val="24"/>
        </w:rPr>
        <w:t>nities. For example, the Catholic archbishop of Jos, Ignatius Ayan Kagama, invited all leaders of religious communities, Christians and Muslims, to joint consultations. Christian-Muslim talks were initiated in different parts of the city.</w:t>
      </w:r>
      <w:r>
        <w:rPr>
          <w:rStyle w:val="FootnoteReference"/>
          <w:szCs w:val="24"/>
        </w:rPr>
        <w:footnoteReference w:id="6"/>
      </w:r>
    </w:p>
    <w:p w14:paraId="71EB08B5" w14:textId="77777777" w:rsidR="00436D9E" w:rsidRDefault="00436D9E" w:rsidP="00436D9E">
      <w:pPr>
        <w:pStyle w:val="BodyText"/>
        <w:ind w:firstLine="720"/>
      </w:pPr>
      <w:r>
        <w:t>Now that I have offered some general remarks about the tensions and at times violence between Muslim and Christian communities in Nigeria, I will now focus on three aspects in order to tease out elements that will help us in our conclusion about justice and love as seen from both sides: the legacy of history, governance, and finally, reconciliation and ongoing cooperation between the two communities.</w:t>
      </w:r>
    </w:p>
    <w:p w14:paraId="60BA0F60" w14:textId="77777777" w:rsidR="00436D9E" w:rsidRDefault="00436D9E" w:rsidP="00436D9E">
      <w:pPr>
        <w:pStyle w:val="BodyText"/>
        <w:ind w:firstLine="720"/>
      </w:pPr>
      <w:r>
        <w:t xml:space="preserve">In his book, </w:t>
      </w:r>
      <w:r w:rsidRPr="00AD6203">
        <w:rPr>
          <w:i/>
        </w:rPr>
        <w:t>Religion and the Making of Nigeria</w:t>
      </w:r>
      <w:r>
        <w:t>, Olufemi Vaughan contends that “[t]he critical foundation in the making of modern Nigeria was constructed on the convergence of two monumental world religious movements that transformed the Nigerian region, starting in the nineteenth century.”</w:t>
      </w:r>
      <w:r>
        <w:rPr>
          <w:rStyle w:val="FootnoteReference"/>
        </w:rPr>
        <w:footnoteReference w:id="7"/>
      </w:r>
      <w:r>
        <w:t xml:space="preserve"> Notice that for him colonialism is not the main force responsible for the shaping of modern Nigeria. It bears a large responsibility, as we shall see, but the two tectonic plates that began to rub against each other in the decades preceding the twentieth century are the most crucial element. The first was the expanding “Islamic reformist movement” that gave birth to the Sokoto Caliphate among the Hausa tribes in Nigeria’s North, and the second was “a Christian evangelical missionary movement” that began transforming Nigeria’s coastal Southwest region.</w:t>
      </w:r>
      <w:r>
        <w:rPr>
          <w:rStyle w:val="FootnoteReference"/>
        </w:rPr>
        <w:footnoteReference w:id="8"/>
      </w:r>
      <w:r>
        <w:t xml:space="preserve"> The British overpowered the Sokoto Caliphate only in 1903 and then proceded to give back to it a large measure of autonomy – “indirect rule,” as it was called.</w:t>
      </w:r>
    </w:p>
    <w:p w14:paraId="5CECBDF3" w14:textId="77777777" w:rsidR="00436D9E" w:rsidRDefault="00436D9E" w:rsidP="00436D9E">
      <w:pPr>
        <w:pStyle w:val="BodyText"/>
        <w:ind w:firstLine="720"/>
      </w:pPr>
      <w:r>
        <w:t xml:space="preserve">Going back in time, from as early as 1000 CE Hausa city-states were spread out in that northern region, each one ruled by a </w:t>
      </w:r>
      <w:r w:rsidRPr="009C4C7B">
        <w:rPr>
          <w:i/>
        </w:rPr>
        <w:t>sarki</w:t>
      </w:r>
      <w:r>
        <w:t>. Through the commercial and social interaction within the wider Maghreb and Sahel regions, Islamic influence began to be felt from the fourteenth century onwards, gradually converting Hausa rulers and their people. Add to that mix the Sudanese diaspora that had come to settle, among whom were many clerics. By the eighteenth century these ulama had become advisors in the sarkis’ courts and administration.</w:t>
      </w:r>
      <w:r>
        <w:rPr>
          <w:rStyle w:val="FootnoteReference"/>
        </w:rPr>
        <w:footnoteReference w:id="9"/>
      </w:r>
      <w:r>
        <w:t xml:space="preserve"> By the late eighteenth century, tensions increased between the clerics and the sarkis, as the former, imbued with the reformism of the age coming mainly from the Arabian Peninsula and North Africa, insisted on having the state ruled by God’s law, the Shari’a.</w:t>
      </w:r>
    </w:p>
    <w:p w14:paraId="013FF896" w14:textId="77777777" w:rsidR="00436D9E" w:rsidRDefault="00436D9E" w:rsidP="00436D9E">
      <w:pPr>
        <w:pStyle w:val="BodyText"/>
        <w:ind w:firstLine="720"/>
      </w:pPr>
      <w:r>
        <w:t>From 1650 to 1750 West Africa had known three main Fulani-inspired jihads (Futa Bundu, Futa Toro, and Futa Jalon), but now the time was ripe for a wider reformist-military movement. Usman dan Fodio, from the city-state of Gobir, was steeped from an early age in the Islamic sciences and in the reformist theology of the time. At the age of twenty he traveled around the region, preaching and drawing crowds everywhere he went. He challenged the synchretism of the Hausa rulers and railed against their oppressive ways. In 1804, together with his brother Abdullahi and son Mohammed Bello, both scholars in their own right, he launched a military movement, the Sokoto Jihad, which envelopped the whole of northern Nigeria. This included military campaigns against several of the non-Muslim people in this region and in the Middle Belt as well.</w:t>
      </w:r>
      <w:r>
        <w:rPr>
          <w:rStyle w:val="FootnoteReference"/>
        </w:rPr>
        <w:footnoteReference w:id="10"/>
      </w:r>
    </w:p>
    <w:p w14:paraId="0E3035C9" w14:textId="77777777" w:rsidR="00436D9E" w:rsidRDefault="00436D9E" w:rsidP="00436D9E">
      <w:pPr>
        <w:pStyle w:val="BodyText"/>
        <w:ind w:firstLine="720"/>
      </w:pPr>
      <w:r>
        <w:t>Islamic reformist groups, like in other religious traditions, tend to link their sociopolitical-religious ideals to the needs of a particular disadvantaged segment of society. “In this context,” notes Vaughan, “Fodio’s insistence on an ummah premised on justice for all resonated with Hausa talakawa commoners and dissaffected Fulani masses, who by the eighteenth century had become a major demographic group in the region.”</w:t>
      </w:r>
      <w:r>
        <w:rPr>
          <w:rStyle w:val="FootnoteReference"/>
        </w:rPr>
        <w:footnoteReference w:id="11"/>
      </w:r>
      <w:r>
        <w:t xml:space="preserve"> Thus with his son Mohamed Bello succeeding him and even turning the caliphate into an empire, the Sokoto Jihad turned out to be the largest geopolitical entity in nineteenth-century West Africa. As Moses Ochonu put it, they were able to unify what had been “fragmented Hausa states … into one politico-linguistic unit.” What is more, they managed to cement the Hausa identity around “a narrative which was underwritten by religious and cultural associations.”</w:t>
      </w:r>
      <w:r>
        <w:rPr>
          <w:rStyle w:val="FootnoteReference"/>
        </w:rPr>
        <w:footnoteReference w:id="12"/>
      </w:r>
    </w:p>
    <w:p w14:paraId="6A8C28B3" w14:textId="77777777" w:rsidR="00436D9E" w:rsidRDefault="00436D9E" w:rsidP="00436D9E">
      <w:pPr>
        <w:pStyle w:val="BodyText"/>
        <w:ind w:firstLine="720"/>
      </w:pPr>
      <w:r>
        <w:t>Was this religio-political entity successful in dispensing justice? Its success was only partial. First, like the Hausa rulers before them, the Fulani Muslim leaders held on to their traditional heditary leadership and sidelined the Hausa taxation system. Second, with the many military campaigns, slavery became only more intrenched. Third, the pockets of resistance here and there were put down with force. According to Vaughan, “Fulani Muslim rulers under the new political and religious dispensation were largely despotic, failing to guarantee the local communities the just ummah promised by Usman dan Fodio’s jihad.”</w:t>
      </w:r>
      <w:r>
        <w:rPr>
          <w:rStyle w:val="FootnoteReference"/>
        </w:rPr>
        <w:footnoteReference w:id="13"/>
      </w:r>
    </w:p>
    <w:p w14:paraId="1E0247B7" w14:textId="77777777" w:rsidR="00436D9E" w:rsidRDefault="00436D9E" w:rsidP="00436D9E">
      <w:pPr>
        <w:pStyle w:val="BodyText"/>
        <w:ind w:firstLine="720"/>
      </w:pPr>
      <w:r>
        <w:t xml:space="preserve">In 1903, the Sokoto Caliphate, which by then had incorporated the old Kanem-Bornu Empire, fell to the British. Ironically, it was the colonial authorities that unified Islamic law under the Maliki school, including the inheritance law, </w:t>
      </w:r>
      <w:r w:rsidR="00794BD3">
        <w:t xml:space="preserve">who </w:t>
      </w:r>
      <w:r>
        <w:t>ensured the dominance of the Qadiriyya Sufi order, and banned slavery and concubinage. British administrators treated the Muslim rulers as “junior partners” and thereby solidified their power against any local competition.</w:t>
      </w:r>
      <w:r>
        <w:rPr>
          <w:rStyle w:val="FootnoteReference"/>
        </w:rPr>
        <w:footnoteReference w:id="14"/>
      </w:r>
    </w:p>
    <w:p w14:paraId="5885E9D5" w14:textId="77777777" w:rsidR="00436D9E" w:rsidRDefault="00436D9E" w:rsidP="00436D9E">
      <w:pPr>
        <w:pStyle w:val="BodyText"/>
        <w:ind w:firstLine="720"/>
      </w:pPr>
      <w:r>
        <w:t>Conversely, the second religious movement, “mission Christianity,” by the 1820s was beginning to impact the South of Nigeria. This was a combination of religious, ethical, and economic interests, which helped to fund and open the way for missionary activity. Through William Wilberforce, who famously invested his entire career in Parliament to abolish slavery, Charles Grant of the East India Company, Thomas Clarkson and Zachary Macaulay of the Sierra Leone Company, and the Parliamentarian Thomas Foxell Buxton, the Anglican Church Missionary Society (CMS) was founded, funded, and ably led. These men were all zealous abolitionists and also keen on establishing an indigenous church. One of the founders and longtime secretary-general of CMS, Henri Venn brought over into Nigeria African leaders who had been highly educated and trained in their Sierra Leone schools.</w:t>
      </w:r>
      <w:r>
        <w:rPr>
          <w:rStyle w:val="FootnoteReference"/>
        </w:rPr>
        <w:footnoteReference w:id="15"/>
      </w:r>
      <w:r>
        <w:t xml:space="preserve"> In turn, the successful pioneering CMS mission effort in the hinterland north of Lagos in the 1940s was greatly bolstered by the return of Yoruba immigrants from Sierra Leone, Cuba and Brazil in the 1950s. Other missionary agencies joined in, including the Wesleyan Methodists and the Baptists.</w:t>
      </w:r>
      <w:r>
        <w:rPr>
          <w:rStyle w:val="FootnoteReference"/>
        </w:rPr>
        <w:footnoteReference w:id="16"/>
      </w:r>
    </w:p>
    <w:p w14:paraId="24686C9E" w14:textId="77777777" w:rsidR="00436D9E" w:rsidRDefault="00436D9E" w:rsidP="00436D9E">
      <w:pPr>
        <w:pStyle w:val="BodyText"/>
        <w:ind w:firstLine="720"/>
      </w:pPr>
      <w:r>
        <w:t>Later, burdened by economic difficulties, many Yoruba Christians migrated to Northern Nigeria, the Gold Coast, Togoland, and Dahomey, establishing Yoruba churches wherever they went. But through the influence of Western missionaries, Yoruba communities also became agents of modernization, through education, commerce and their bureaucratic know-how. Among these missionaries, who by now were mostly Yoruba themselves, was the prominent Bishop Samuel Ajayi Crowther, “a Yoruba expatriate from Freetown, Sierra Leone, who as a boy had been liberated by British squadrons from a Portuguese slave ship off the coast of West Africa in 1821.</w:t>
      </w:r>
      <w:r>
        <w:rPr>
          <w:rStyle w:val="FootnoteReference"/>
        </w:rPr>
        <w:footnoteReference w:id="17"/>
      </w:r>
      <w:r>
        <w:t xml:space="preserve"> Yale scholar Lamin Sanneh summarizes the impact of the CMS-led efforts, highlighting in particular how these movements were primarily African-initiated:</w:t>
      </w:r>
    </w:p>
    <w:p w14:paraId="551BB3E0" w14:textId="77777777" w:rsidR="00436D9E" w:rsidRDefault="00436D9E" w:rsidP="00436D9E">
      <w:pPr>
        <w:pStyle w:val="BlockText"/>
      </w:pPr>
      <w:r>
        <w:t>In the intervening years when government and mission were still wary of any reckless scheme of territorial overreach, the re-captives [Saro] bought ships and traveled up and down the coast, demonstrating that expansion beyond Sierra Leone was viable and logical development of the antislavery cause . . . Such advances in the personal circumstances of the settlers and re-captives produced the educated and successful individuals who could plan and direct the antislavery outreach to Nigeria and elsewhere. Preachers, pastors, schoolteachers, traders, and clerical personnel composed the ranks of this buoyant cadre of modernizing agents, with their skills supporting their mobile lifestyle.</w:t>
      </w:r>
      <w:r>
        <w:rPr>
          <w:rStyle w:val="FootnoteReference"/>
        </w:rPr>
        <w:footnoteReference w:id="18"/>
      </w:r>
    </w:p>
    <w:p w14:paraId="22D08759" w14:textId="77777777" w:rsidR="00436D9E" w:rsidRDefault="00436D9E" w:rsidP="00436D9E">
      <w:pPr>
        <w:pStyle w:val="BodyText"/>
        <w:ind w:firstLine="720"/>
      </w:pPr>
      <w:r>
        <w:t>Allow me now to fast-forward to the late twentieth century. Vaughan dedicates his sixth chapter to the arrival of Pentecostalism, a global Christian movement that historians trace back to the “Azusa Street Revival” in Los Angeles in 1906.</w:t>
      </w:r>
      <w:r>
        <w:rPr>
          <w:rStyle w:val="FootnoteReference"/>
        </w:rPr>
        <w:footnoteReference w:id="19"/>
      </w:r>
      <w:r>
        <w:t xml:space="preserve"> In the years following independence in the 1960s, many young educated Nigerians who had belonged to the Aladura Church, or other so-called “African Independent Churches” (AICs), were attracted to the exhuberant revivalism of the Pentecostal movement.</w:t>
      </w:r>
      <w:r>
        <w:rPr>
          <w:rStyle w:val="FootnoteReference"/>
        </w:rPr>
        <w:footnoteReference w:id="20"/>
      </w:r>
      <w:r>
        <w:t xml:space="preserve"> First, it was the spread of Holiness Pentecostalism, with the likes of the Deeper Life Church movement founded</w:t>
      </w:r>
      <w:r w:rsidRPr="008D2445">
        <w:t xml:space="preserve"> </w:t>
      </w:r>
      <w:r>
        <w:t>in 1973 by William Folorunso Kumuyi from Ogun State. Then the 1980s saw the rapid rise of Prosperity Pentecostalism, a movement drawing in many young educated Nigerians, but also offering a variety of social services often marketed “against a backdrop of neoliberalism.”</w:t>
      </w:r>
      <w:r>
        <w:rPr>
          <w:rStyle w:val="FootnoteReference"/>
        </w:rPr>
        <w:footnoteReference w:id="21"/>
      </w:r>
      <w:r>
        <w:t xml:space="preserve"> On a wider scale, the ability of these churches to harness the cultural vibrancy of their African music and dance for the purposes of Christian worship, and their close links to the African American church and other global networks, has enabled Pentecostalism to shape Nigeria’s public sphere and weaken the role of the state’s ideology and institutions.</w:t>
      </w:r>
      <w:r>
        <w:rPr>
          <w:rStyle w:val="FootnoteReference"/>
        </w:rPr>
        <w:footnoteReference w:id="22"/>
      </w:r>
      <w:r>
        <w:t xml:space="preserve"> At the same time, many Pentecostal leaders entered politics themselves, and when the Northern military ruler died in 1998, the following year, a self-proclaimed born-again Christian, Olusegun Obasanjo, was elected as the first democratic head of state.</w:t>
      </w:r>
    </w:p>
    <w:p w14:paraId="34E5152F" w14:textId="77777777" w:rsidR="00436D9E" w:rsidRDefault="00436D9E" w:rsidP="00436D9E">
      <w:pPr>
        <w:pStyle w:val="BodyText"/>
        <w:ind w:firstLine="720"/>
      </w:pPr>
      <w:r>
        <w:t>Those, then, are elements of the two tectonic plates that in their mutual interactions have underpinned the historical development of Nigeria since the early nineteeth century. But history also explains the relative underdevelopment of the Northern region. The British brought together North and South Nigeria as one entity in 1914, though in practice they managed the territory as two separate colonies. Under the Sultan of Sokoto, as noted above, they allowed the Northern region to be ruled by the traditional mix of local customs and shari’a law, while grooming the military elite from their ranks.</w:t>
      </w:r>
      <w:r>
        <w:rPr>
          <w:rStyle w:val="FootnoteReference"/>
        </w:rPr>
        <w:footnoteReference w:id="23"/>
      </w:r>
      <w:r>
        <w:t xml:space="preserve"> The south, on the other hand was favored in terms of education and industrialization. The North, as a result, remained relatively impoverished. After World War II, with the advent of decolonization, the British and the Nigerians moved in the direction of a unified country, unlike Rhodesia, which split into Zimbabwe and Zambia, for instance.</w:t>
      </w:r>
    </w:p>
    <w:p w14:paraId="536A7A39" w14:textId="77777777" w:rsidR="00436D9E" w:rsidRDefault="00436D9E" w:rsidP="00436D9E">
      <w:pPr>
        <w:pStyle w:val="BodyText"/>
        <w:ind w:firstLine="720"/>
      </w:pPr>
      <w:r>
        <w:t>To be fair, the British had also made an effort to reconcile the two regions, mostly by using the qur’anic paradigm of “the people of the book.” With time, it seemed that the northern rulers had absorbed this paradigm, and Christians and Muslims came to feel that they had more in common as followers of an Abrahamic faith than they had with the devotees of traditional African religions. Paden puts it this way:</w:t>
      </w:r>
    </w:p>
    <w:p w14:paraId="36DFC7DB" w14:textId="77777777" w:rsidR="00436D9E" w:rsidRDefault="00436D9E" w:rsidP="00436D9E">
      <w:pPr>
        <w:pStyle w:val="BlockText"/>
      </w:pPr>
      <w:r>
        <w:t>During the early independence era, there was close cooperation in the north between Muslims (whether emirs, civil servants, or teachers) and their Christian counterparts (whether chiefs, civil servants, or teachers). During this period, the premier of the Northern Region, Ahmadu Bello, initiated the northernization policy in which Muslim and Christian northerners were promoted rapidly, both at the regional and the national levels.</w:t>
      </w:r>
      <w:r>
        <w:rPr>
          <w:rStyle w:val="FootnoteReference"/>
        </w:rPr>
        <w:footnoteReference w:id="24"/>
      </w:r>
    </w:p>
    <w:p w14:paraId="4202ECA8" w14:textId="77777777" w:rsidR="00436D9E" w:rsidRDefault="00436D9E" w:rsidP="00436D9E">
      <w:pPr>
        <w:pStyle w:val="BodyText"/>
      </w:pPr>
      <w:r>
        <w:t>However, three events opened old wounds: first, a 1966 coup by Christian officers who killed several Northern leaders; second, the Muslim military leader, Ibrahim Bagangida, decided to integrate Nigeria into the Organization of the Islamic Conference (OIC) in 1986; third, the Shari’a movement, which gained national prominence in 1999.</w:t>
      </w:r>
    </w:p>
    <w:p w14:paraId="053DC98B" w14:textId="77777777" w:rsidR="00436D9E" w:rsidRDefault="00436D9E" w:rsidP="00436D9E">
      <w:pPr>
        <w:pStyle w:val="BodyText"/>
        <w:ind w:firstLine="720"/>
      </w:pPr>
      <w:r>
        <w:t>So one has to look at history to understand the complexity of issues that converge and, as in a kaleidoscope, that create new, unexpected combinations and landscapes. Throughtout this historical presentation I hope the reader has noticed the important role of governance in bringing about justice in society – whether it was the reformist ideal of the Sokoto Jihad or the power sharing arrangements of the Nigerian political class as it emerged from the long period of military rule. After Obasanjo finished his two terms, the Muslim governor of Katsina State was elected to the presidency of Nigeria. After Umaru Musa Yar’Adua was elected in 2007, many Katsina Christians complained that under his leadership Christians found it very difficult to send their children to secondary public schools and thus had to send them to schools in other states. Furthermore, Christians were effectively barred from entering the army, rise to higher positions in the state bureaucracy, and the ban on preaching in public places seemed only to apply to them.</w:t>
      </w:r>
      <w:r>
        <w:rPr>
          <w:rStyle w:val="FootnoteReference"/>
        </w:rPr>
        <w:footnoteReference w:id="25"/>
      </w:r>
      <w:r>
        <w:t xml:space="preserve"> Still, Katsina CAN leaders admitted that the situation for them had not worsened as a result of the imposition of Shari’a, that the state government was willing to make some compromises, and that finally, Christian advocacy in Katsina was severely hampered by the lack of church unity. Governance, especially in a democratic state, will always be a work in progress, with inevitable ups and downs, and very much dependent on the vitality of civil society.</w:t>
      </w:r>
    </w:p>
    <w:p w14:paraId="2E698B2D" w14:textId="77777777" w:rsidR="00436D9E" w:rsidRDefault="00436D9E" w:rsidP="00436D9E">
      <w:pPr>
        <w:pStyle w:val="BodyText"/>
        <w:ind w:firstLine="720"/>
        <w:rPr>
          <w:rFonts w:eastAsia="Times New Roman"/>
        </w:rPr>
      </w:pPr>
    </w:p>
    <w:p w14:paraId="220D013C" w14:textId="77777777" w:rsidR="00436D9E" w:rsidRDefault="00436D9E" w:rsidP="00436D9E">
      <w:pPr>
        <w:pStyle w:val="BodyText"/>
        <w:ind w:firstLine="720"/>
      </w:pPr>
      <w:r>
        <w:t>On this note I close the parenthesis about islamism and Tunisia. I now come to my third point promised earlier, the issue of reconciliation and healing. Fortunately, those are also in great supply in the recent experience of Nigerians. The first step was for both sides to moderate their positions. Many Muslim leaders began to realize how the Shari’a discourse had been corroding Nigerian national unity. A government committee composed of Islamic scholars recommended that Sokoto State not expand its Shari’a policy until they had a chance to educate the local population as to what it entailed. Though the authorities went ahead anyway, their positions moderated considerably and Christians were largely spared any additional difficulties.</w:t>
      </w:r>
      <w:r>
        <w:rPr>
          <w:rStyle w:val="FootnoteReference"/>
        </w:rPr>
        <w:footnoteReference w:id="26"/>
      </w:r>
      <w:r>
        <w:t xml:space="preserve"> Thus Christians also toned down their discourse and began to openly accept that Muslims could implement moderate Shari’a laws for their own community.</w:t>
      </w:r>
    </w:p>
    <w:p w14:paraId="67F52400" w14:textId="77777777" w:rsidR="00436D9E" w:rsidRDefault="00436D9E" w:rsidP="00436D9E">
      <w:pPr>
        <w:pStyle w:val="BodyText"/>
        <w:ind w:firstLine="720"/>
      </w:pPr>
      <w:r>
        <w:t>Then there were more positive initiatives from both sides. In fact, they would be too numerous to mention. Allow me to isolate this small excerpt from Vaughan’s list:</w:t>
      </w:r>
    </w:p>
    <w:p w14:paraId="4272FF99" w14:textId="77777777" w:rsidR="00436D9E" w:rsidRDefault="00436D9E" w:rsidP="00436D9E">
      <w:pPr>
        <w:pStyle w:val="BlockText"/>
      </w:pPr>
      <w:r>
        <w:t>National seminars and conferences were organized by various civic and religious organizations to chart pathways to reconciliation. Several Pentecostal churches urged peaceful coexistence between Christians and Muslims. The federal government established the Nigerian Inter-Religious Council, and Yusuf Ameh Obaje was appointed as national coordinator. Several prominent intellectuals proposed an Academy of Peace to design a moral code for religious reconciliation between Nigerian Christians and Muslims. One such regional dialogue included a Catholic priest, a Pentecostal theologian, and a Muslim cleric.</w:t>
      </w:r>
      <w:r>
        <w:rPr>
          <w:rStyle w:val="FootnoteReference"/>
        </w:rPr>
        <w:footnoteReference w:id="27"/>
      </w:r>
    </w:p>
    <w:p w14:paraId="50C46420" w14:textId="77777777" w:rsidR="00436D9E" w:rsidRDefault="00436D9E" w:rsidP="00436D9E">
      <w:pPr>
        <w:pStyle w:val="BodyText"/>
        <w:ind w:firstLine="720"/>
      </w:pPr>
      <w:r>
        <w:t>In the end, the most inspiring story may well be the friendship of Imam Muhammad Ashafa and Pastor James Wue from the city of Kaduna. Both as religious zealots had taken up arms in the 1992 riots in their city but in 1995 a journalist brought them together saying, “Gentlemen, you can keep Kaduna State together. I want you to talk.” Grudgingly at first, their conversations developed into a lasting friendship and the founding of the Interfaith Mediation Center, with seed money from the US Institute of Peace. Their first intervention was in Yelwa and Shendam, where they brought leaders from both sides together to discuss the way forward. As a result, that region has stayed calm over the last ten years. Their mediation efforts since then have successfully helped to bring peace to communities in Sri Lanka, Kenya, South Sudan, Iraq and elsewhere.</w:t>
      </w:r>
      <w:r>
        <w:rPr>
          <w:rStyle w:val="FootnoteReference"/>
        </w:rPr>
        <w:footnoteReference w:id="28"/>
      </w:r>
    </w:p>
    <w:p w14:paraId="19420DC6" w14:textId="77777777" w:rsidR="00436D9E" w:rsidRDefault="00436D9E" w:rsidP="00436D9E">
      <w:pPr>
        <w:pStyle w:val="BodyText"/>
        <w:ind w:firstLine="720"/>
      </w:pPr>
      <w:r>
        <w:t>Particularly at the local level, and where people meet face to face, this is where we see justice and love coming together in a beautiful way. Reconciliation involves forgiveness, the first step before friendship can be nurtured. Love expressed through forgiveness is the commitment to the good of the other, in this case an enemy, with no strings attached. Jesus called his disciples to love their enemies. The Qur’an says, “Good and evil cannot be equal. [Prophet], repel evil with what is better and your enemy will become as close as an old and valued friend” (41:34). And again, on forgiveness we read, “Let harm be requited by an equal harm, though anyone who forgives and puts things right will have his reward from God Himself – He does not like those who do wrong” (42:40).</w:t>
      </w:r>
    </w:p>
    <w:p w14:paraId="161718DC" w14:textId="77777777" w:rsidR="00436D9E" w:rsidRDefault="00436D9E" w:rsidP="00436D9E">
      <w:pPr>
        <w:pStyle w:val="BodyText"/>
        <w:ind w:firstLine="720"/>
      </w:pPr>
      <w:r>
        <w:t>Such peacebuilding initiatives as we have seen</w:t>
      </w:r>
      <w:r w:rsidRPr="00763FA1">
        <w:t xml:space="preserve"> </w:t>
      </w:r>
      <w:r>
        <w:t>have brought lasting changes to each of these Northern states. Years of riots and violence had taken their toll – flight of capital from many of the Shari’a states, the tarnishing of Nigeria’s international reputation, the loss of life and destruction. Yet the Nigerian people resolutely showed their political will to remain united, especially through the years of Boko Haram terrorism. Now with a backdrop of nineteen years since the 1999 Shari’a controversy, we have witnessed each state moderating its positions</w:t>
      </w:r>
      <w:r w:rsidRPr="00763FA1">
        <w:t xml:space="preserve"> </w:t>
      </w:r>
      <w:r>
        <w:t>in its own way. Each one has been forced as well to deal with its own governance failures, and especially in actively working to eradicate poverty. It may be that no one said it better than the influential Nigerian Sanusi Lamido Sanusi, fourteenth Emir of Kano and former governor of the Central Bank of Nigeria:</w:t>
      </w:r>
    </w:p>
    <w:p w14:paraId="0F215EAE" w14:textId="77777777" w:rsidR="00436D9E" w:rsidRDefault="00436D9E" w:rsidP="00436D9E">
      <w:pPr>
        <w:pStyle w:val="BlockText"/>
      </w:pPr>
      <w:r>
        <w:t>Over a period of four years, the euphoria seems to have fizzled out. After the initial sensational sentences of amputations and caning, and even stoning to death (which was not carried out) the people have come to realize that nothing in reality has changed and that the poor seem to be the only ones facing the wrath of the law. There is now a focus on the real problems facing the people, and questions are being asked about good governance, competence, and genuine commitment to the welfare of the people.</w:t>
      </w:r>
      <w:r>
        <w:rPr>
          <w:rStyle w:val="FootnoteReference"/>
        </w:rPr>
        <w:footnoteReference w:id="29"/>
      </w:r>
    </w:p>
    <w:p w14:paraId="0E39F9E1" w14:textId="77777777" w:rsidR="00F32776" w:rsidRDefault="00F32776"/>
    <w:sectPr w:rsidR="00F32776" w:rsidSect="001972AE">
      <w:footerReference w:type="default" r:id="rId7"/>
      <w:pgSz w:w="12240" w:h="15840"/>
      <w:pgMar w:top="1440" w:right="1800" w:bottom="1440" w:left="1800" w:header="720" w:footer="845"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B538C" w14:textId="77777777" w:rsidR="00436D9E" w:rsidRDefault="00436D9E" w:rsidP="00436D9E">
      <w:r>
        <w:separator/>
      </w:r>
    </w:p>
  </w:endnote>
  <w:endnote w:type="continuationSeparator" w:id="0">
    <w:p w14:paraId="75C83432" w14:textId="77777777" w:rsidR="00436D9E" w:rsidRDefault="00436D9E" w:rsidP="0043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4DB9" w14:textId="43EE4B32" w:rsidR="001972AE" w:rsidRPr="001972AE" w:rsidRDefault="001972AE" w:rsidP="001972AE">
    <w:pPr>
      <w:pStyle w:val="Footer"/>
      <w:jc w:val="center"/>
      <w:rPr>
        <w:sz w:val="20"/>
        <w:szCs w:val="20"/>
      </w:rPr>
    </w:pPr>
    <w:r w:rsidRPr="001972AE">
      <w:rPr>
        <w:sz w:val="20"/>
        <w:szCs w:val="20"/>
      </w:rPr>
      <w:t>David L. Johnston      March 2019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3D6D9" w14:textId="77777777" w:rsidR="00436D9E" w:rsidRDefault="00436D9E" w:rsidP="00436D9E">
      <w:r>
        <w:separator/>
      </w:r>
    </w:p>
  </w:footnote>
  <w:footnote w:type="continuationSeparator" w:id="0">
    <w:p w14:paraId="77BF7EB9" w14:textId="77777777" w:rsidR="00436D9E" w:rsidRDefault="00436D9E" w:rsidP="00436D9E">
      <w:r>
        <w:continuationSeparator/>
      </w:r>
    </w:p>
  </w:footnote>
  <w:footnote w:id="1">
    <w:p w14:paraId="308D2CC6" w14:textId="77777777" w:rsidR="00436D9E" w:rsidRDefault="00436D9E" w:rsidP="00436D9E">
      <w:pPr>
        <w:pStyle w:val="FootnoteText"/>
      </w:pPr>
      <w:r>
        <w:rPr>
          <w:rStyle w:val="FootnoteReference"/>
        </w:rPr>
        <w:footnoteRef/>
      </w:r>
      <w:r>
        <w:t xml:space="preserve"> </w:t>
      </w:r>
      <w:r w:rsidRPr="00BD10A4">
        <w:rPr>
          <w:i/>
        </w:rPr>
        <w:t>Faith and Politics in Nigeria: Nigeria as a Pivotal State in the Muslim World</w:t>
      </w:r>
      <w:r>
        <w:t xml:space="preserve"> (Washington, DC: United States Institute of Peace, 2008).</w:t>
      </w:r>
    </w:p>
  </w:footnote>
  <w:footnote w:id="2">
    <w:p w14:paraId="32FB7AE0" w14:textId="77777777" w:rsidR="00436D9E" w:rsidRDefault="00436D9E" w:rsidP="00436D9E">
      <w:pPr>
        <w:pStyle w:val="FootnoteText"/>
      </w:pPr>
      <w:r>
        <w:rPr>
          <w:rStyle w:val="FootnoteReference"/>
        </w:rPr>
        <w:footnoteRef/>
      </w:r>
      <w:r>
        <w:t xml:space="preserve"> “Christian-Muslim Relations in Nigeria since the Introduction of Shari’ah in 1999,” </w:t>
      </w:r>
      <w:r w:rsidRPr="0063622B">
        <w:rPr>
          <w:i/>
        </w:rPr>
        <w:t xml:space="preserve">Journal of the American Academy of Religion </w:t>
      </w:r>
      <w:r>
        <w:t>76, 3 (Sept. 2008): 602-37, at 603.</w:t>
      </w:r>
    </w:p>
  </w:footnote>
  <w:footnote w:id="3">
    <w:p w14:paraId="74A5C022" w14:textId="77777777" w:rsidR="00436D9E" w:rsidRDefault="00436D9E" w:rsidP="00436D9E">
      <w:pPr>
        <w:pStyle w:val="FootnoteText"/>
      </w:pPr>
      <w:r>
        <w:rPr>
          <w:rStyle w:val="FootnoteReference"/>
        </w:rPr>
        <w:footnoteRef/>
      </w:r>
      <w:r>
        <w:t xml:space="preserve"> Ibid., 618.</w:t>
      </w:r>
    </w:p>
  </w:footnote>
  <w:footnote w:id="4">
    <w:p w14:paraId="15C8D39D" w14:textId="77777777" w:rsidR="00436D9E" w:rsidRDefault="00436D9E" w:rsidP="00436D9E">
      <w:pPr>
        <w:pStyle w:val="FootnoteText"/>
      </w:pPr>
      <w:r>
        <w:rPr>
          <w:rStyle w:val="FootnoteReference"/>
        </w:rPr>
        <w:footnoteRef/>
      </w:r>
      <w:r>
        <w:t xml:space="preserve"> Ludwig notes that politicians who win in the polls, almost to the last one, engage in a public Christian thanksgiving service (ibid., 617). Nigeria’s “Middle Belt” states were traditionally considered “northern” by the Fulani-Hausa rulers and there has been considerable pushback against this notion, particularly in Plateau State. As of this writing I ran across this article today: Alexis Akwagyiram, “Nigeria grazing violence kills many more than Boko Haram, poses serious threat-think tank,” Reuters (July 26, 2018), online, </w:t>
      </w:r>
      <w:hyperlink r:id="rId1" w:history="1">
        <w:r w:rsidRPr="00F205C8">
          <w:rPr>
            <w:rStyle w:val="Hyperlink"/>
          </w:rPr>
          <w:t>https://af.reuters.com/article/topNews/idAFKBN1KG18X-OZATP</w:t>
        </w:r>
      </w:hyperlink>
      <w:r>
        <w:t>. Two hundred people have been killed by Boko Haram between January and June of 2018, whereas violence between “semi-nomadic cattle herders and and settled farmers has killed over six times more people.” This violence is in the Middle Belt.</w:t>
      </w:r>
    </w:p>
  </w:footnote>
  <w:footnote w:id="5">
    <w:p w14:paraId="546AD9DE" w14:textId="77777777" w:rsidR="00436D9E" w:rsidRDefault="00436D9E" w:rsidP="00436D9E">
      <w:pPr>
        <w:pStyle w:val="FootnoteText"/>
      </w:pPr>
      <w:r>
        <w:rPr>
          <w:rStyle w:val="FootnoteReference"/>
        </w:rPr>
        <w:footnoteRef/>
      </w:r>
      <w:r>
        <w:t xml:space="preserve"> Ibid., 619.</w:t>
      </w:r>
    </w:p>
  </w:footnote>
  <w:footnote w:id="6">
    <w:p w14:paraId="2234FD74" w14:textId="77777777" w:rsidR="00436D9E" w:rsidRDefault="00436D9E" w:rsidP="00436D9E">
      <w:pPr>
        <w:pStyle w:val="FootnoteText"/>
      </w:pPr>
      <w:r>
        <w:rPr>
          <w:rStyle w:val="FootnoteReference"/>
        </w:rPr>
        <w:footnoteRef/>
      </w:r>
      <w:r>
        <w:t xml:space="preserve"> Ibid. On May 18, 2004, the Christian president, Olusegun Obasanjo, declared a state of emergency in Plateau State. Most Muslims and Christians welcomed that decision.</w:t>
      </w:r>
    </w:p>
  </w:footnote>
  <w:footnote w:id="7">
    <w:p w14:paraId="65EC22E1" w14:textId="77777777" w:rsidR="00436D9E" w:rsidRDefault="00436D9E" w:rsidP="00436D9E">
      <w:pPr>
        <w:pStyle w:val="FootnoteText"/>
      </w:pPr>
      <w:r>
        <w:rPr>
          <w:rStyle w:val="FootnoteReference"/>
        </w:rPr>
        <w:footnoteRef/>
      </w:r>
      <w:r>
        <w:t xml:space="preserve"> Durham and London: Duke University Press, 2016, 13. Vaughan is the Geoffrey Canada Professor of Africana Studies and History at Bowdoin College. From my several visits to Nigeria my guess is that he is from the Yoruba tribe, which dominates the southwest of Nigeria, and which has both a large Christian and Muslim population, along with practitioners of its traditional religion.</w:t>
      </w:r>
    </w:p>
  </w:footnote>
  <w:footnote w:id="8">
    <w:p w14:paraId="2F03067A" w14:textId="77777777" w:rsidR="00436D9E" w:rsidRDefault="00436D9E" w:rsidP="00436D9E">
      <w:pPr>
        <w:pStyle w:val="FootnoteText"/>
      </w:pPr>
      <w:r>
        <w:rPr>
          <w:rStyle w:val="FootnoteReference"/>
        </w:rPr>
        <w:footnoteRef/>
      </w:r>
      <w:r>
        <w:t xml:space="preserve"> Naturally, the missionary movement in the south would not have been so extensive without the protection of the colonial powers. Yet many other factors</w:t>
      </w:r>
      <w:r w:rsidRPr="00962E43">
        <w:t xml:space="preserve"> </w:t>
      </w:r>
      <w:r>
        <w:t>created by Western influence, mostly cultural, social, and economic, contributed to the rapid spread of Christianity. Some factors were local too, like the Yoruba wars, for instance, during most of the ninteenth century (ibid., 25-9).</w:t>
      </w:r>
    </w:p>
  </w:footnote>
  <w:footnote w:id="9">
    <w:p w14:paraId="221C5003" w14:textId="77777777" w:rsidR="00436D9E" w:rsidRDefault="00436D9E" w:rsidP="00436D9E">
      <w:pPr>
        <w:pStyle w:val="FootnoteText"/>
      </w:pPr>
      <w:r>
        <w:rPr>
          <w:rStyle w:val="FootnoteReference"/>
        </w:rPr>
        <w:footnoteRef/>
      </w:r>
      <w:r>
        <w:t xml:space="preserve"> Ibid., 15.</w:t>
      </w:r>
    </w:p>
  </w:footnote>
  <w:footnote w:id="10">
    <w:p w14:paraId="333646D3" w14:textId="77777777" w:rsidR="00436D9E" w:rsidRDefault="00436D9E" w:rsidP="00436D9E">
      <w:pPr>
        <w:pStyle w:val="FootnoteText"/>
      </w:pPr>
      <w:r>
        <w:rPr>
          <w:rStyle w:val="FootnoteReference"/>
        </w:rPr>
        <w:footnoteRef/>
      </w:r>
      <w:r>
        <w:t xml:space="preserve"> Vaughan quotes dan Fodio: “The waging of Holy war (al-jihad) is obligatory by assent . . . and to make war upon the heathen king who will not say ‘There is no God but Allah’ is obligatory by assent and to take the government from him is obligatory by assent,” 17, quoted from Moses Ochonu, </w:t>
      </w:r>
      <w:r w:rsidRPr="00D15B76">
        <w:rPr>
          <w:i/>
        </w:rPr>
        <w:t>Colonialism by Proxy: Hausa Imperial Agents and Middle Belt Consciousness</w:t>
      </w:r>
      <w:r>
        <w:t xml:space="preserve"> (Bloomington, IN: Indiana University Press, 2014), 49.</w:t>
      </w:r>
    </w:p>
  </w:footnote>
  <w:footnote w:id="11">
    <w:p w14:paraId="4447EE49" w14:textId="77777777" w:rsidR="00436D9E" w:rsidRDefault="00436D9E" w:rsidP="00436D9E">
      <w:pPr>
        <w:pStyle w:val="FootnoteText"/>
      </w:pPr>
      <w:r>
        <w:rPr>
          <w:rStyle w:val="FootnoteReference"/>
        </w:rPr>
        <w:footnoteRef/>
      </w:r>
      <w:r>
        <w:t xml:space="preserve"> Vaughan, </w:t>
      </w:r>
      <w:r w:rsidRPr="001401A5">
        <w:rPr>
          <w:i/>
        </w:rPr>
        <w:t>Religion and the Making of Nigeria</w:t>
      </w:r>
      <w:r>
        <w:t>, 18-19.</w:t>
      </w:r>
    </w:p>
  </w:footnote>
  <w:footnote w:id="12">
    <w:p w14:paraId="168D3400" w14:textId="77777777" w:rsidR="00436D9E" w:rsidRDefault="00436D9E" w:rsidP="00436D9E">
      <w:pPr>
        <w:pStyle w:val="FootnoteText"/>
      </w:pPr>
      <w:r>
        <w:rPr>
          <w:rStyle w:val="FootnoteReference"/>
        </w:rPr>
        <w:footnoteRef/>
      </w:r>
      <w:r>
        <w:t xml:space="preserve"> Ibid., 23; quoted from Ochonu, </w:t>
      </w:r>
      <w:r w:rsidRPr="001401A5">
        <w:rPr>
          <w:i/>
        </w:rPr>
        <w:t>Colonialism by Proxy</w:t>
      </w:r>
      <w:r>
        <w:t>, 98.</w:t>
      </w:r>
    </w:p>
  </w:footnote>
  <w:footnote w:id="13">
    <w:p w14:paraId="4210906F" w14:textId="77777777" w:rsidR="00436D9E" w:rsidRDefault="00436D9E" w:rsidP="00436D9E">
      <w:pPr>
        <w:pStyle w:val="FootnoteText"/>
      </w:pPr>
      <w:r>
        <w:rPr>
          <w:rStyle w:val="FootnoteReference"/>
        </w:rPr>
        <w:footnoteRef/>
      </w:r>
      <w:r>
        <w:t xml:space="preserve"> Vaughan, </w:t>
      </w:r>
      <w:r w:rsidRPr="001401A5">
        <w:rPr>
          <w:i/>
        </w:rPr>
        <w:t>Religion and the Making of Nigeria</w:t>
      </w:r>
      <w:r>
        <w:t>, 21-2.</w:t>
      </w:r>
    </w:p>
  </w:footnote>
  <w:footnote w:id="14">
    <w:p w14:paraId="1081C127" w14:textId="77777777" w:rsidR="00436D9E" w:rsidRDefault="00436D9E" w:rsidP="00436D9E">
      <w:pPr>
        <w:pStyle w:val="FootnoteText"/>
      </w:pPr>
      <w:r>
        <w:rPr>
          <w:rStyle w:val="FootnoteReference"/>
        </w:rPr>
        <w:footnoteRef/>
      </w:r>
      <w:r>
        <w:t xml:space="preserve"> Ibid., 41.</w:t>
      </w:r>
    </w:p>
  </w:footnote>
  <w:footnote w:id="15">
    <w:p w14:paraId="5CDBABF0" w14:textId="77777777" w:rsidR="00436D9E" w:rsidRDefault="00436D9E" w:rsidP="00436D9E">
      <w:pPr>
        <w:pStyle w:val="FootnoteText"/>
      </w:pPr>
      <w:r>
        <w:rPr>
          <w:rStyle w:val="FootnoteReference"/>
        </w:rPr>
        <w:footnoteRef/>
      </w:r>
      <w:r>
        <w:t xml:space="preserve"> Ibid., 25.</w:t>
      </w:r>
    </w:p>
  </w:footnote>
  <w:footnote w:id="16">
    <w:p w14:paraId="72600DEC" w14:textId="77777777" w:rsidR="00436D9E" w:rsidRDefault="00436D9E" w:rsidP="00436D9E">
      <w:pPr>
        <w:pStyle w:val="FootnoteText"/>
      </w:pPr>
      <w:r>
        <w:rPr>
          <w:rStyle w:val="FootnoteReference"/>
        </w:rPr>
        <w:footnoteRef/>
      </w:r>
      <w:r>
        <w:t xml:space="preserve"> Ibid., 27.</w:t>
      </w:r>
    </w:p>
  </w:footnote>
  <w:footnote w:id="17">
    <w:p w14:paraId="6A02FA9D" w14:textId="77777777" w:rsidR="00436D9E" w:rsidRDefault="00436D9E" w:rsidP="00436D9E">
      <w:pPr>
        <w:pStyle w:val="FootnoteText"/>
      </w:pPr>
      <w:r>
        <w:rPr>
          <w:rStyle w:val="FootnoteReference"/>
        </w:rPr>
        <w:footnoteRef/>
      </w:r>
      <w:r>
        <w:t xml:space="preserve"> Ibid., 25.</w:t>
      </w:r>
    </w:p>
  </w:footnote>
  <w:footnote w:id="18">
    <w:p w14:paraId="0F5537D3" w14:textId="77777777" w:rsidR="00436D9E" w:rsidRDefault="00436D9E" w:rsidP="00436D9E">
      <w:pPr>
        <w:pStyle w:val="FootnoteText"/>
      </w:pPr>
      <w:r>
        <w:rPr>
          <w:rStyle w:val="FootnoteReference"/>
        </w:rPr>
        <w:footnoteRef/>
      </w:r>
      <w:r>
        <w:t xml:space="preserve"> Lamin Sanneh, “The CMS and African Transformation: Samuel Ajayi Crowder and the Opening of Nigeria,” in </w:t>
      </w:r>
      <w:r w:rsidRPr="004F5F38">
        <w:rPr>
          <w:i/>
        </w:rPr>
        <w:t>The Church Mission Society and the World Christianity</w:t>
      </w:r>
      <w:r>
        <w:t xml:space="preserve">, </w:t>
      </w:r>
      <w:r w:rsidRPr="00810DAC">
        <w:rPr>
          <w:i/>
        </w:rPr>
        <w:t>1799-1999</w:t>
      </w:r>
      <w:r>
        <w:t>, eds. Kevin Ward and Brian Stanley (Grand Rapids, MI: Eerdmans, 1999), 175; quoted in Vaughan, 29.</w:t>
      </w:r>
    </w:p>
  </w:footnote>
  <w:footnote w:id="19">
    <w:p w14:paraId="534B4483" w14:textId="77777777" w:rsidR="00436D9E" w:rsidRDefault="00436D9E" w:rsidP="00436D9E">
      <w:pPr>
        <w:pStyle w:val="FootnoteText"/>
      </w:pPr>
      <w:r>
        <w:rPr>
          <w:rStyle w:val="FootnoteReference"/>
        </w:rPr>
        <w:footnoteRef/>
      </w:r>
      <w:r>
        <w:t xml:space="preserve"> Boston University religious scholar Stephen Prothero in the chapter on Christianity in his best-selling book on the world religions calls the twentieth century “the Pentecostal century.” See </w:t>
      </w:r>
      <w:r w:rsidRPr="00927021">
        <w:rPr>
          <w:i/>
        </w:rPr>
        <w:t>God Is Not One: The Eight Rival Religions That Run the World – and Why their Differences Matter</w:t>
      </w:r>
      <w:r>
        <w:t xml:space="preserve"> (HarperOne, 2010), 87-91. Scholars count up to 800 million Pentecostals today. Interestingly, one of the eight religions he chooses is the Yoruba tradition, which because of the slave trade is well established (and modified) in Cuba (Santeria), Brazil (Candomble, Umbanda, and Macumba), and elsewhere. Leaning on specialists, he estimates that it has one hundred million adherents in one form or another.</w:t>
      </w:r>
    </w:p>
  </w:footnote>
  <w:footnote w:id="20">
    <w:p w14:paraId="09902B89" w14:textId="77777777" w:rsidR="00436D9E" w:rsidRDefault="00436D9E" w:rsidP="00436D9E">
      <w:pPr>
        <w:pStyle w:val="FootnoteText"/>
      </w:pPr>
      <w:r>
        <w:rPr>
          <w:rStyle w:val="FootnoteReference"/>
        </w:rPr>
        <w:footnoteRef/>
      </w:r>
      <w:r>
        <w:t xml:space="preserve"> Vaughan, </w:t>
      </w:r>
      <w:r w:rsidRPr="001401A5">
        <w:rPr>
          <w:i/>
        </w:rPr>
        <w:t>Religion and the Making of Nigeria</w:t>
      </w:r>
      <w:r>
        <w:t>, 142.</w:t>
      </w:r>
    </w:p>
  </w:footnote>
  <w:footnote w:id="21">
    <w:p w14:paraId="7AE2E75B" w14:textId="77777777" w:rsidR="00436D9E" w:rsidRDefault="00436D9E" w:rsidP="00436D9E">
      <w:pPr>
        <w:pStyle w:val="FootnoteText"/>
      </w:pPr>
      <w:r>
        <w:rPr>
          <w:rStyle w:val="FootnoteReference"/>
        </w:rPr>
        <w:footnoteRef/>
      </w:r>
      <w:r>
        <w:t xml:space="preserve"> Ibid., 146.</w:t>
      </w:r>
    </w:p>
  </w:footnote>
  <w:footnote w:id="22">
    <w:p w14:paraId="6DD27DED" w14:textId="77777777" w:rsidR="00436D9E" w:rsidRDefault="00436D9E" w:rsidP="00436D9E">
      <w:pPr>
        <w:pStyle w:val="FootnoteText"/>
      </w:pPr>
      <w:r>
        <w:rPr>
          <w:rStyle w:val="FootnoteReference"/>
        </w:rPr>
        <w:footnoteRef/>
      </w:r>
      <w:r>
        <w:t xml:space="preserve"> Ibid., 148-9.</w:t>
      </w:r>
    </w:p>
  </w:footnote>
  <w:footnote w:id="23">
    <w:p w14:paraId="3F35CE48" w14:textId="77777777" w:rsidR="00436D9E" w:rsidRDefault="00436D9E" w:rsidP="00436D9E">
      <w:pPr>
        <w:pStyle w:val="FootnoteText"/>
      </w:pPr>
      <w:r>
        <w:rPr>
          <w:rStyle w:val="FootnoteReference"/>
        </w:rPr>
        <w:footnoteRef/>
      </w:r>
      <w:r>
        <w:t xml:space="preserve"> Ludwig explains that at Independence the Nigerian government introduced a new Penal Code for the Northern states, “basically English in derivation, but also incorporated various principles of Islamic and customary law.” Islamic criminal law, which had operated under the British, was now abrogated and the Shari’a courts were limited to questions of personal and family law. In a centralizing move, the state established one Shari’a Court of Appeal for the whole Northern region, the decisions of which along with those of the Regional High Court, were irrevocable. The Shari’a movement of the late 1990s sought to decentralize much of this structure, and in the end, Shari’a is applied differently in every state. Throughout this process, the federal system in Nigeria was strengthened (“Christian-Muslim Relations,” 608).</w:t>
      </w:r>
    </w:p>
  </w:footnote>
  <w:footnote w:id="24">
    <w:p w14:paraId="0E376A44" w14:textId="77777777" w:rsidR="00436D9E" w:rsidRDefault="00436D9E" w:rsidP="00436D9E">
      <w:pPr>
        <w:pStyle w:val="FootnoteText"/>
      </w:pPr>
      <w:r>
        <w:rPr>
          <w:rStyle w:val="FootnoteReference"/>
        </w:rPr>
        <w:footnoteRef/>
      </w:r>
      <w:r>
        <w:t xml:space="preserve"> </w:t>
      </w:r>
      <w:r w:rsidRPr="00B32C40">
        <w:rPr>
          <w:i/>
        </w:rPr>
        <w:t>Faith and Politics in Nigeria</w:t>
      </w:r>
      <w:r>
        <w:t>, 22.</w:t>
      </w:r>
    </w:p>
  </w:footnote>
  <w:footnote w:id="25">
    <w:p w14:paraId="7EF45877" w14:textId="77777777" w:rsidR="00436D9E" w:rsidRDefault="00436D9E" w:rsidP="00436D9E">
      <w:pPr>
        <w:pStyle w:val="FootnoteText"/>
      </w:pPr>
      <w:r>
        <w:rPr>
          <w:rStyle w:val="FootnoteReference"/>
        </w:rPr>
        <w:footnoteRef/>
      </w:r>
      <w:r>
        <w:t xml:space="preserve"> Ludwig, “Christian-Muslim Relations,” 630.</w:t>
      </w:r>
    </w:p>
  </w:footnote>
  <w:footnote w:id="26">
    <w:p w14:paraId="7EF2BC0C" w14:textId="77777777" w:rsidR="00436D9E" w:rsidRDefault="00436D9E" w:rsidP="00436D9E">
      <w:pPr>
        <w:pStyle w:val="FootnoteText"/>
      </w:pPr>
      <w:r>
        <w:rPr>
          <w:rStyle w:val="FootnoteReference"/>
        </w:rPr>
        <w:footnoteRef/>
      </w:r>
      <w:r>
        <w:t xml:space="preserve"> Vaughan, </w:t>
      </w:r>
      <w:r w:rsidRPr="001401A5">
        <w:rPr>
          <w:i/>
        </w:rPr>
        <w:t>Religion and the Making of Nigeria</w:t>
      </w:r>
      <w:r>
        <w:t>, 195.</w:t>
      </w:r>
    </w:p>
  </w:footnote>
  <w:footnote w:id="27">
    <w:p w14:paraId="41250B13" w14:textId="77777777" w:rsidR="00436D9E" w:rsidRDefault="00436D9E" w:rsidP="00436D9E">
      <w:pPr>
        <w:pStyle w:val="FootnoteText"/>
      </w:pPr>
      <w:r>
        <w:rPr>
          <w:rStyle w:val="FootnoteReference"/>
        </w:rPr>
        <w:footnoteRef/>
      </w:r>
      <w:r>
        <w:t xml:space="preserve"> Ibid., 196.</w:t>
      </w:r>
    </w:p>
  </w:footnote>
  <w:footnote w:id="28">
    <w:p w14:paraId="4526B557" w14:textId="77777777" w:rsidR="00436D9E" w:rsidRDefault="00436D9E" w:rsidP="00436D9E">
      <w:pPr>
        <w:pStyle w:val="FootnoteText"/>
      </w:pPr>
      <w:r>
        <w:rPr>
          <w:rStyle w:val="FootnoteReference"/>
        </w:rPr>
        <w:footnoteRef/>
      </w:r>
      <w:r>
        <w:t xml:space="preserve"> See the USIP article about them here: </w:t>
      </w:r>
      <w:hyperlink r:id="rId2" w:history="1">
        <w:r w:rsidRPr="00F205C8">
          <w:rPr>
            <w:rStyle w:val="Hyperlink"/>
          </w:rPr>
          <w:t>https://www.usip.org/publications/2017/09/nigerias-imam-and-pastor-faith-front-video</w:t>
        </w:r>
      </w:hyperlink>
      <w:r>
        <w:t xml:space="preserve">. See also this three-minute YouTube video where they explain their story: “Nigeria’s Imam and Pastor: Faith at the Front,” </w:t>
      </w:r>
      <w:hyperlink r:id="rId3" w:history="1">
        <w:r w:rsidRPr="00F205C8">
          <w:rPr>
            <w:rStyle w:val="Hyperlink"/>
          </w:rPr>
          <w:t>https://www.youtube.com/watch?v=bL2qA6Gt6Ko</w:t>
        </w:r>
      </w:hyperlink>
      <w:r>
        <w:t xml:space="preserve">. </w:t>
      </w:r>
    </w:p>
  </w:footnote>
  <w:footnote w:id="29">
    <w:p w14:paraId="7907917C" w14:textId="77777777" w:rsidR="00436D9E" w:rsidRDefault="00436D9E" w:rsidP="00436D9E">
      <w:pPr>
        <w:pStyle w:val="FootnoteText"/>
      </w:pPr>
      <w:r>
        <w:rPr>
          <w:rStyle w:val="FootnoteReference"/>
        </w:rPr>
        <w:footnoteRef/>
      </w:r>
      <w:r>
        <w:t xml:space="preserve"> “Politics and Sharia in Northern Nigeria,” in </w:t>
      </w:r>
      <w:r w:rsidRPr="005E1754">
        <w:rPr>
          <w:i/>
        </w:rPr>
        <w:t>Islam and Politics in Africa</w:t>
      </w:r>
      <w:r>
        <w:t>, eds. Benjamin F. Soares and René Otayek (New York: Palgrave Macmillan, 2007), 177-88, at 185.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D9E"/>
    <w:rsid w:val="001972AE"/>
    <w:rsid w:val="00436D9E"/>
    <w:rsid w:val="0058521C"/>
    <w:rsid w:val="00794BD3"/>
    <w:rsid w:val="00F32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5A1E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6D9E"/>
    <w:pPr>
      <w:spacing w:after="120" w:line="480" w:lineRule="auto"/>
    </w:pPr>
    <w:rPr>
      <w:rFonts w:ascii="Times New Roman" w:eastAsia="Times" w:hAnsi="Times New Roman" w:cs="Times New Roman"/>
      <w:noProof/>
    </w:rPr>
  </w:style>
  <w:style w:type="character" w:customStyle="1" w:styleId="BodyTextChar">
    <w:name w:val="Body Text Char"/>
    <w:basedOn w:val="DefaultParagraphFont"/>
    <w:link w:val="BodyText"/>
    <w:rsid w:val="00436D9E"/>
    <w:rPr>
      <w:rFonts w:ascii="Times New Roman" w:eastAsia="Times" w:hAnsi="Times New Roman" w:cs="Times New Roman"/>
      <w:noProof/>
    </w:rPr>
  </w:style>
  <w:style w:type="paragraph" w:styleId="FootnoteText">
    <w:name w:val="footnote text"/>
    <w:basedOn w:val="Normal"/>
    <w:link w:val="FootnoteTextChar"/>
    <w:uiPriority w:val="99"/>
    <w:unhideWhenUsed/>
    <w:rsid w:val="00436D9E"/>
    <w:rPr>
      <w:rFonts w:ascii="Times New Roman" w:eastAsia="Times" w:hAnsi="Times New Roman" w:cs="Times New Roman"/>
      <w:noProof/>
      <w:sz w:val="20"/>
    </w:rPr>
  </w:style>
  <w:style w:type="character" w:customStyle="1" w:styleId="FootnoteTextChar">
    <w:name w:val="Footnote Text Char"/>
    <w:basedOn w:val="DefaultParagraphFont"/>
    <w:link w:val="FootnoteText"/>
    <w:uiPriority w:val="99"/>
    <w:rsid w:val="00436D9E"/>
    <w:rPr>
      <w:rFonts w:ascii="Times New Roman" w:eastAsia="Times" w:hAnsi="Times New Roman" w:cs="Times New Roman"/>
      <w:noProof/>
      <w:sz w:val="20"/>
    </w:rPr>
  </w:style>
  <w:style w:type="character" w:styleId="FootnoteReference">
    <w:name w:val="footnote reference"/>
    <w:uiPriority w:val="99"/>
    <w:unhideWhenUsed/>
    <w:rsid w:val="00436D9E"/>
    <w:rPr>
      <w:vertAlign w:val="superscript"/>
    </w:rPr>
  </w:style>
  <w:style w:type="paragraph" w:styleId="BlockText">
    <w:name w:val="Block Text"/>
    <w:basedOn w:val="Normal"/>
    <w:uiPriority w:val="99"/>
    <w:unhideWhenUsed/>
    <w:rsid w:val="00436D9E"/>
    <w:pPr>
      <w:spacing w:after="360"/>
      <w:ind w:left="720" w:right="720"/>
    </w:pPr>
    <w:rPr>
      <w:rFonts w:ascii="Times New Roman" w:eastAsia="Times" w:hAnsi="Times New Roman" w:cs="Times New Roman"/>
      <w:noProof/>
      <w:szCs w:val="20"/>
    </w:rPr>
  </w:style>
  <w:style w:type="character" w:styleId="Hyperlink">
    <w:name w:val="Hyperlink"/>
    <w:unhideWhenUsed/>
    <w:rsid w:val="00436D9E"/>
    <w:rPr>
      <w:color w:val="0000FF"/>
      <w:u w:val="single"/>
    </w:rPr>
  </w:style>
  <w:style w:type="paragraph" w:styleId="Header">
    <w:name w:val="header"/>
    <w:basedOn w:val="Normal"/>
    <w:link w:val="HeaderChar"/>
    <w:uiPriority w:val="99"/>
    <w:unhideWhenUsed/>
    <w:rsid w:val="001972AE"/>
    <w:pPr>
      <w:tabs>
        <w:tab w:val="center" w:pos="4320"/>
        <w:tab w:val="right" w:pos="8640"/>
      </w:tabs>
    </w:pPr>
  </w:style>
  <w:style w:type="character" w:customStyle="1" w:styleId="HeaderChar">
    <w:name w:val="Header Char"/>
    <w:basedOn w:val="DefaultParagraphFont"/>
    <w:link w:val="Header"/>
    <w:uiPriority w:val="99"/>
    <w:rsid w:val="001972AE"/>
  </w:style>
  <w:style w:type="paragraph" w:styleId="Footer">
    <w:name w:val="footer"/>
    <w:basedOn w:val="Normal"/>
    <w:link w:val="FooterChar"/>
    <w:uiPriority w:val="99"/>
    <w:unhideWhenUsed/>
    <w:rsid w:val="001972AE"/>
    <w:pPr>
      <w:tabs>
        <w:tab w:val="center" w:pos="4320"/>
        <w:tab w:val="right" w:pos="8640"/>
      </w:tabs>
    </w:pPr>
  </w:style>
  <w:style w:type="character" w:customStyle="1" w:styleId="FooterChar">
    <w:name w:val="Footer Char"/>
    <w:basedOn w:val="DefaultParagraphFont"/>
    <w:link w:val="Footer"/>
    <w:uiPriority w:val="99"/>
    <w:rsid w:val="001972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6D9E"/>
    <w:pPr>
      <w:spacing w:after="120" w:line="480" w:lineRule="auto"/>
    </w:pPr>
    <w:rPr>
      <w:rFonts w:ascii="Times New Roman" w:eastAsia="Times" w:hAnsi="Times New Roman" w:cs="Times New Roman"/>
      <w:noProof/>
    </w:rPr>
  </w:style>
  <w:style w:type="character" w:customStyle="1" w:styleId="BodyTextChar">
    <w:name w:val="Body Text Char"/>
    <w:basedOn w:val="DefaultParagraphFont"/>
    <w:link w:val="BodyText"/>
    <w:rsid w:val="00436D9E"/>
    <w:rPr>
      <w:rFonts w:ascii="Times New Roman" w:eastAsia="Times" w:hAnsi="Times New Roman" w:cs="Times New Roman"/>
      <w:noProof/>
    </w:rPr>
  </w:style>
  <w:style w:type="paragraph" w:styleId="FootnoteText">
    <w:name w:val="footnote text"/>
    <w:basedOn w:val="Normal"/>
    <w:link w:val="FootnoteTextChar"/>
    <w:uiPriority w:val="99"/>
    <w:unhideWhenUsed/>
    <w:rsid w:val="00436D9E"/>
    <w:rPr>
      <w:rFonts w:ascii="Times New Roman" w:eastAsia="Times" w:hAnsi="Times New Roman" w:cs="Times New Roman"/>
      <w:noProof/>
      <w:sz w:val="20"/>
    </w:rPr>
  </w:style>
  <w:style w:type="character" w:customStyle="1" w:styleId="FootnoteTextChar">
    <w:name w:val="Footnote Text Char"/>
    <w:basedOn w:val="DefaultParagraphFont"/>
    <w:link w:val="FootnoteText"/>
    <w:uiPriority w:val="99"/>
    <w:rsid w:val="00436D9E"/>
    <w:rPr>
      <w:rFonts w:ascii="Times New Roman" w:eastAsia="Times" w:hAnsi="Times New Roman" w:cs="Times New Roman"/>
      <w:noProof/>
      <w:sz w:val="20"/>
    </w:rPr>
  </w:style>
  <w:style w:type="character" w:styleId="FootnoteReference">
    <w:name w:val="footnote reference"/>
    <w:uiPriority w:val="99"/>
    <w:unhideWhenUsed/>
    <w:rsid w:val="00436D9E"/>
    <w:rPr>
      <w:vertAlign w:val="superscript"/>
    </w:rPr>
  </w:style>
  <w:style w:type="paragraph" w:styleId="BlockText">
    <w:name w:val="Block Text"/>
    <w:basedOn w:val="Normal"/>
    <w:uiPriority w:val="99"/>
    <w:unhideWhenUsed/>
    <w:rsid w:val="00436D9E"/>
    <w:pPr>
      <w:spacing w:after="360"/>
      <w:ind w:left="720" w:right="720"/>
    </w:pPr>
    <w:rPr>
      <w:rFonts w:ascii="Times New Roman" w:eastAsia="Times" w:hAnsi="Times New Roman" w:cs="Times New Roman"/>
      <w:noProof/>
      <w:szCs w:val="20"/>
    </w:rPr>
  </w:style>
  <w:style w:type="character" w:styleId="Hyperlink">
    <w:name w:val="Hyperlink"/>
    <w:unhideWhenUsed/>
    <w:rsid w:val="00436D9E"/>
    <w:rPr>
      <w:color w:val="0000FF"/>
      <w:u w:val="single"/>
    </w:rPr>
  </w:style>
  <w:style w:type="paragraph" w:styleId="Header">
    <w:name w:val="header"/>
    <w:basedOn w:val="Normal"/>
    <w:link w:val="HeaderChar"/>
    <w:uiPriority w:val="99"/>
    <w:unhideWhenUsed/>
    <w:rsid w:val="001972AE"/>
    <w:pPr>
      <w:tabs>
        <w:tab w:val="center" w:pos="4320"/>
        <w:tab w:val="right" w:pos="8640"/>
      </w:tabs>
    </w:pPr>
  </w:style>
  <w:style w:type="character" w:customStyle="1" w:styleId="HeaderChar">
    <w:name w:val="Header Char"/>
    <w:basedOn w:val="DefaultParagraphFont"/>
    <w:link w:val="Header"/>
    <w:uiPriority w:val="99"/>
    <w:rsid w:val="001972AE"/>
  </w:style>
  <w:style w:type="paragraph" w:styleId="Footer">
    <w:name w:val="footer"/>
    <w:basedOn w:val="Normal"/>
    <w:link w:val="FooterChar"/>
    <w:uiPriority w:val="99"/>
    <w:unhideWhenUsed/>
    <w:rsid w:val="001972AE"/>
    <w:pPr>
      <w:tabs>
        <w:tab w:val="center" w:pos="4320"/>
        <w:tab w:val="right" w:pos="8640"/>
      </w:tabs>
    </w:pPr>
  </w:style>
  <w:style w:type="character" w:customStyle="1" w:styleId="FooterChar">
    <w:name w:val="Footer Char"/>
    <w:basedOn w:val="DefaultParagraphFont"/>
    <w:link w:val="Footer"/>
    <w:uiPriority w:val="99"/>
    <w:rsid w:val="00197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s://af.reuters.com/article/topNews/idAFKBN1KG18X-OZATP" TargetMode="External"/><Relationship Id="rId2" Type="http://schemas.openxmlformats.org/officeDocument/2006/relationships/hyperlink" Target="https://www.usip.org/publications/2017/09/nigerias-imam-and-pastor-faith-front-video" TargetMode="External"/><Relationship Id="rId3" Type="http://schemas.openxmlformats.org/officeDocument/2006/relationships/hyperlink" Target="https://www.youtube.com/watch?v=bL2qA6Gt6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3159</Words>
  <Characters>18012</Characters>
  <Application>Microsoft Macintosh Word</Application>
  <DocSecurity>0</DocSecurity>
  <Lines>150</Lines>
  <Paragraphs>42</Paragraphs>
  <ScaleCrop>false</ScaleCrop>
  <Company/>
  <LinksUpToDate>false</LinksUpToDate>
  <CharactersWithSpaces>21129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Johnston</dc:creator>
  <cp:keywords/>
  <dc:description/>
  <cp:lastModifiedBy>David Johnston</cp:lastModifiedBy>
  <cp:revision>3</cp:revision>
  <dcterms:created xsi:type="dcterms:W3CDTF">2019-03-18T18:19:00Z</dcterms:created>
  <dcterms:modified xsi:type="dcterms:W3CDTF">2019-03-19T15:09:00Z</dcterms:modified>
</cp:coreProperties>
</file>